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231F20"/>
        </w:rPr>
        <w:t>CURRENT REPORT</w:t>
      </w:r>
    </w:p>
    <w:p>
      <w:pPr>
        <w:spacing w:after="0" w:line="4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4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May 18, 2021</w:t>
      </w:r>
    </w:p>
    <w:p>
      <w:pPr>
        <w:spacing w:after="0" w:line="27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AMERICAN STATES WATER COMPANY</w:t>
      </w:r>
    </w:p>
    <w:p>
      <w:pPr>
        <w:spacing w:after="0" w:line="9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88" w:lineRule="exact"/>
        <w:rPr>
          <w:sz w:val="24"/>
          <w:szCs w:val="24"/>
          <w:color w:val="auto"/>
        </w:rPr>
      </w:pPr>
    </w:p>
    <w:tbl>
      <w:tblPr>
        <w:tblLayout w:type="fixed"/>
        <w:tblInd w:w="420" w:type="dxa"/>
        <w:tblCellMar>
          <w:top w:w="0" w:type="dxa"/>
          <w:left w:w="0" w:type="dxa"/>
          <w:bottom w:w="0" w:type="dxa"/>
          <w:right w:w="0" w:type="dxa"/>
        </w:tblCellMar>
      </w:tblPr>
      <w:tr>
        <w:trPr>
          <w:trHeight w:val="261"/>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3"/>
              </w:rPr>
              <w:t>California</w:t>
            </w:r>
          </w:p>
        </w:tc>
        <w:tc>
          <w:tcPr>
            <w:tcW w:w="2140" w:type="dxa"/>
            <w:vAlign w:val="bottom"/>
          </w:tcPr>
          <w:p>
            <w:pPr>
              <w:ind w:left="1280"/>
              <w:spacing w:after="0"/>
              <w:rPr>
                <w:sz w:val="20"/>
                <w:szCs w:val="20"/>
                <w:color w:val="auto"/>
              </w:rPr>
            </w:pPr>
            <w:r>
              <w:rPr>
                <w:rFonts w:ascii="Arial" w:cs="Arial" w:eastAsia="Arial" w:hAnsi="Arial"/>
                <w:sz w:val="18"/>
                <w:szCs w:val="18"/>
                <w:b w:val="1"/>
                <w:bCs w:val="1"/>
                <w:color w:val="auto"/>
                <w:w w:val="97"/>
              </w:rPr>
              <w:t>001-14431</w:t>
            </w:r>
          </w:p>
        </w:tc>
        <w:tc>
          <w:tcPr>
            <w:tcW w:w="1580" w:type="dxa"/>
            <w:vAlign w:val="bottom"/>
          </w:tcPr>
          <w:p>
            <w:pPr>
              <w:spacing w:after="0"/>
              <w:rPr>
                <w:sz w:val="22"/>
                <w:szCs w:val="22"/>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95-4676679</w:t>
            </w:r>
          </w:p>
        </w:tc>
        <w:tc>
          <w:tcPr>
            <w:tcW w:w="0" w:type="dxa"/>
            <w:vAlign w:val="bottom"/>
          </w:tcPr>
          <w:p>
            <w:pPr>
              <w:spacing w:after="0"/>
              <w:rPr>
                <w:sz w:val="1"/>
                <w:szCs w:val="1"/>
                <w:color w:val="auto"/>
              </w:rPr>
            </w:pPr>
          </w:p>
        </w:tc>
      </w:tr>
      <w:tr>
        <w:trPr>
          <w:trHeight w:val="189"/>
        </w:trPr>
        <w:tc>
          <w:tcPr>
            <w:tcW w:w="3340" w:type="dxa"/>
            <w:vAlign w:val="bottom"/>
          </w:tcPr>
          <w:p>
            <w:pPr>
              <w:jc w:val="center"/>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3720" w:type="dxa"/>
            <w:vAlign w:val="bottom"/>
            <w:gridSpan w:val="2"/>
            <w:vMerge w:val="restart"/>
          </w:tcPr>
          <w:p>
            <w:pPr>
              <w:ind w:left="680"/>
              <w:spacing w:after="0"/>
              <w:rPr>
                <w:sz w:val="20"/>
                <w:szCs w:val="20"/>
                <w:color w:val="auto"/>
              </w:rPr>
            </w:pPr>
            <w:r>
              <w:rPr>
                <w:rFonts w:ascii="Arial" w:cs="Arial" w:eastAsia="Arial" w:hAnsi="Arial"/>
                <w:sz w:val="18"/>
                <w:szCs w:val="18"/>
                <w:color w:val="auto"/>
              </w:rPr>
              <w:t>(Commission File Number)</w:t>
            </w:r>
          </w:p>
        </w:tc>
        <w:tc>
          <w:tcPr>
            <w:tcW w:w="2620" w:type="dxa"/>
            <w:vAlign w:val="bottom"/>
          </w:tcPr>
          <w:p>
            <w:pPr>
              <w:jc w:val="center"/>
              <w:spacing w:after="0" w:line="189"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34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3720" w:type="dxa"/>
            <w:vAlign w:val="bottom"/>
            <w:gridSpan w:val="2"/>
            <w:vMerge w:val="continue"/>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0"/>
              </w:rPr>
              <w:t>630 East Foothill Blvd.</w:t>
            </w:r>
          </w:p>
        </w:tc>
        <w:tc>
          <w:tcPr>
            <w:tcW w:w="2140" w:type="dxa"/>
            <w:vAlign w:val="bottom"/>
          </w:tcPr>
          <w:p>
            <w:pPr>
              <w:ind w:left="600"/>
              <w:spacing w:after="0"/>
              <w:rPr>
                <w:sz w:val="20"/>
                <w:szCs w:val="20"/>
                <w:color w:val="auto"/>
              </w:rPr>
            </w:pPr>
            <w:r>
              <w:rPr>
                <w:rFonts w:ascii="Arial" w:cs="Arial" w:eastAsia="Arial" w:hAnsi="Arial"/>
                <w:sz w:val="18"/>
                <w:szCs w:val="18"/>
                <w:b w:val="1"/>
                <w:bCs w:val="1"/>
                <w:color w:val="auto"/>
              </w:rPr>
              <w:t>San Dimas</w:t>
            </w:r>
          </w:p>
        </w:tc>
        <w:tc>
          <w:tcPr>
            <w:tcW w:w="1580" w:type="dxa"/>
            <w:vAlign w:val="bottom"/>
          </w:tcPr>
          <w:p>
            <w:pPr>
              <w:ind w:left="60"/>
              <w:spacing w:after="0"/>
              <w:rPr>
                <w:sz w:val="20"/>
                <w:szCs w:val="20"/>
                <w:color w:val="auto"/>
              </w:rPr>
            </w:pPr>
            <w:r>
              <w:rPr>
                <w:rFonts w:ascii="Arial" w:cs="Arial" w:eastAsia="Arial" w:hAnsi="Arial"/>
                <w:sz w:val="18"/>
                <w:szCs w:val="18"/>
                <w:b w:val="1"/>
                <w:bCs w:val="1"/>
                <w:color w:val="auto"/>
              </w:rPr>
              <w:t>CA</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91773-1212</w:t>
            </w:r>
          </w:p>
        </w:tc>
        <w:tc>
          <w:tcPr>
            <w:tcW w:w="0" w:type="dxa"/>
            <w:vAlign w:val="bottom"/>
          </w:tcPr>
          <w:p>
            <w:pPr>
              <w:spacing w:after="0"/>
              <w:rPr>
                <w:sz w:val="1"/>
                <w:szCs w:val="1"/>
                <w:color w:val="auto"/>
              </w:rPr>
            </w:pPr>
          </w:p>
        </w:tc>
      </w:tr>
      <w:tr>
        <w:trPr>
          <w:trHeight w:val="230"/>
        </w:trPr>
        <w:tc>
          <w:tcPr>
            <w:tcW w:w="33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337"/>
        </w:trPr>
        <w:tc>
          <w:tcPr>
            <w:tcW w:w="3340" w:type="dxa"/>
            <w:vAlign w:val="bottom"/>
          </w:tcPr>
          <w:p>
            <w:pPr>
              <w:spacing w:after="0"/>
              <w:rPr>
                <w:sz w:val="24"/>
                <w:szCs w:val="24"/>
                <w:color w:val="auto"/>
              </w:rPr>
            </w:pPr>
          </w:p>
        </w:tc>
        <w:tc>
          <w:tcPr>
            <w:tcW w:w="3720" w:type="dxa"/>
            <w:vAlign w:val="bottom"/>
            <w:gridSpan w:val="2"/>
          </w:tcPr>
          <w:p>
            <w:pPr>
              <w:ind w:left="1300"/>
              <w:spacing w:after="0"/>
              <w:rPr>
                <w:sz w:val="20"/>
                <w:szCs w:val="20"/>
                <w:color w:val="auto"/>
              </w:rPr>
            </w:pPr>
            <w:r>
              <w:rPr>
                <w:rFonts w:ascii="Arial" w:cs="Arial" w:eastAsia="Arial" w:hAnsi="Arial"/>
                <w:sz w:val="18"/>
                <w:szCs w:val="18"/>
                <w:b w:val="1"/>
                <w:bCs w:val="1"/>
                <w:color w:val="auto"/>
              </w:rPr>
              <w:t>(909) 394-3600</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3720" w:type="dxa"/>
            <w:vAlign w:val="bottom"/>
            <w:gridSpan w:val="2"/>
          </w:tcPr>
          <w:p>
            <w:pPr>
              <w:ind w:left="20"/>
              <w:spacing w:after="0"/>
              <w:rPr>
                <w:sz w:val="20"/>
                <w:szCs w:val="20"/>
                <w:color w:val="auto"/>
              </w:rPr>
            </w:pPr>
            <w:r>
              <w:rPr>
                <w:rFonts w:ascii="Arial" w:cs="Arial" w:eastAsia="Arial" w:hAnsi="Arial"/>
                <w:sz w:val="18"/>
                <w:szCs w:val="18"/>
                <w:color w:val="auto"/>
                <w:w w:val="89"/>
              </w:rPr>
              <w:t>Registrant's telephone number, including area code</w:t>
            </w: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Not Applicable</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238" w:lineRule="exact"/>
        <w:rPr>
          <w:sz w:val="24"/>
          <w:szCs w:val="24"/>
          <w:color w:val="auto"/>
        </w:rPr>
      </w:pPr>
    </w:p>
    <w:p>
      <w:pPr>
        <w:ind w:right="520"/>
        <w:spacing w:after="0" w:line="25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 w:lineRule="exact"/>
        <w:rPr>
          <w:sz w:val="24"/>
          <w:szCs w:val="24"/>
          <w:color w:val="auto"/>
        </w:rPr>
      </w:pPr>
    </w:p>
    <w:p>
      <w:pPr>
        <w:ind w:left="280" w:hanging="232"/>
        <w:spacing w:after="0"/>
        <w:tabs>
          <w:tab w:leader="none" w:pos="28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5" w:lineRule="exact"/>
        <w:rPr>
          <w:rFonts w:ascii="MS PGothic" w:cs="MS PGothic" w:eastAsia="MS PGothic" w:hAnsi="MS PGothic"/>
          <w:sz w:val="20"/>
          <w:szCs w:val="20"/>
          <w:color w:val="auto"/>
        </w:rPr>
      </w:pPr>
    </w:p>
    <w:p>
      <w:pPr>
        <w:ind w:left="280" w:hanging="232"/>
        <w:spacing w:after="0"/>
        <w:tabs>
          <w:tab w:leader="none" w:pos="28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231F20"/>
        </w:rPr>
        <w:t>Soliciting material pursuant to Rule 14a-12 under the Exchange Act (17 CFR 240.14a-12)</w:t>
      </w:r>
    </w:p>
    <w:p>
      <w:pPr>
        <w:spacing w:after="0" w:line="19" w:lineRule="exact"/>
        <w:rPr>
          <w:rFonts w:ascii="MS PGothic" w:cs="MS PGothic" w:eastAsia="MS PGothic" w:hAnsi="MS PGothic"/>
          <w:sz w:val="20"/>
          <w:szCs w:val="20"/>
          <w:color w:val="auto"/>
        </w:rPr>
      </w:pPr>
    </w:p>
    <w:p>
      <w:pPr>
        <w:ind w:left="280" w:hanging="232"/>
        <w:spacing w:after="0"/>
        <w:tabs>
          <w:tab w:leader="none" w:pos="28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231F20"/>
        </w:rPr>
        <w:t>Pre-commencement communications pursuant to Rule 14d-2(b) under the Exchange Act (17 CFR 240.14d-2(b))</w:t>
      </w:r>
    </w:p>
    <w:p>
      <w:pPr>
        <w:spacing w:after="0" w:line="19" w:lineRule="exact"/>
        <w:rPr>
          <w:rFonts w:ascii="MS PGothic" w:cs="MS PGothic" w:eastAsia="MS PGothic" w:hAnsi="MS PGothic"/>
          <w:sz w:val="20"/>
          <w:szCs w:val="20"/>
          <w:color w:val="auto"/>
        </w:rPr>
      </w:pPr>
    </w:p>
    <w:p>
      <w:pPr>
        <w:ind w:left="280" w:hanging="232"/>
        <w:spacing w:after="0"/>
        <w:tabs>
          <w:tab w:leader="none" w:pos="280" w:val="left"/>
        </w:tabs>
        <w:numPr>
          <w:ilvl w:val="0"/>
          <w:numId w:val="1"/>
        </w:numPr>
        <w:rPr>
          <w:rFonts w:ascii="MS PGothic" w:cs="MS PGothic" w:eastAsia="MS PGothic" w:hAnsi="MS PGothic"/>
          <w:sz w:val="20"/>
          <w:szCs w:val="20"/>
          <w:color w:val="231F20"/>
        </w:rPr>
      </w:pPr>
      <w:r>
        <w:rPr>
          <w:rFonts w:ascii="Arial" w:cs="Arial" w:eastAsia="Arial" w:hAnsi="Arial"/>
          <w:sz w:val="18"/>
          <w:szCs w:val="18"/>
          <w:color w:val="231F20"/>
        </w:rPr>
        <w:t>Pre-commencement communications pursuant to Rule 13e-4(c) under the Exchange Act (17 CFR 240.13e-4(c))</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60" w:type="dxa"/>
            <w:vAlign w:val="bottom"/>
            <w:gridSpan w:val="3"/>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10"/>
        </w:trPr>
        <w:tc>
          <w:tcPr>
            <w:tcW w:w="12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640" w:type="dxa"/>
            <w:vAlign w:val="bottom"/>
          </w:tcPr>
          <w:p>
            <w:pPr>
              <w:spacing w:after="0"/>
              <w:rPr>
                <w:sz w:val="24"/>
                <w:szCs w:val="24"/>
                <w:color w:val="auto"/>
              </w:rPr>
            </w:pPr>
          </w:p>
        </w:tc>
        <w:tc>
          <w:tcPr>
            <w:tcW w:w="398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426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American States Water Company Common Shares</w:t>
            </w:r>
          </w:p>
        </w:tc>
        <w:tc>
          <w:tcPr>
            <w:tcW w:w="100" w:type="dxa"/>
            <w:vAlign w:val="bottom"/>
          </w:tcPr>
          <w:p>
            <w:pPr>
              <w:spacing w:after="0"/>
              <w:rPr>
                <w:sz w:val="21"/>
                <w:szCs w:val="21"/>
                <w:color w:val="auto"/>
              </w:rPr>
            </w:pPr>
          </w:p>
        </w:tc>
        <w:tc>
          <w:tcPr>
            <w:tcW w:w="2080" w:type="dxa"/>
            <w:vAlign w:val="bottom"/>
            <w:gridSpan w:val="2"/>
          </w:tcPr>
          <w:p>
            <w:pPr>
              <w:jc w:val="center"/>
              <w:ind w:right="640"/>
              <w:spacing w:after="0"/>
              <w:rPr>
                <w:sz w:val="20"/>
                <w:szCs w:val="20"/>
                <w:color w:val="auto"/>
              </w:rPr>
            </w:pPr>
            <w:r>
              <w:rPr>
                <w:rFonts w:ascii="Arial" w:cs="Arial" w:eastAsia="Arial" w:hAnsi="Arial"/>
                <w:sz w:val="18"/>
                <w:szCs w:val="18"/>
                <w:color w:val="auto"/>
                <w:w w:val="95"/>
              </w:rPr>
              <w:t>AWR</w:t>
            </w:r>
          </w:p>
        </w:tc>
        <w:tc>
          <w:tcPr>
            <w:tcW w:w="6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67" w:lineRule="exact"/>
        <w:rPr>
          <w:sz w:val="24"/>
          <w:szCs w:val="24"/>
          <w:color w:val="auto"/>
        </w:rPr>
      </w:pPr>
    </w:p>
    <w:p>
      <w:pPr>
        <w:ind w:right="360"/>
        <w:spacing w:after="0" w:line="25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9"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9"/>
          <w:szCs w:val="19"/>
          <w:color w:val="231F20"/>
        </w:rPr>
        <w:t>☐</w:t>
      </w:r>
    </w:p>
    <w:p>
      <w:pPr>
        <w:spacing w:after="0" w:line="21" w:lineRule="exact"/>
        <w:rPr>
          <w:sz w:val="24"/>
          <w:szCs w:val="24"/>
          <w:color w:val="auto"/>
        </w:rPr>
      </w:pPr>
    </w:p>
    <w:p>
      <w:pPr>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00" w:right="49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annual meeting of shareholders was held on May 18, 2021. The results of voting on each of the matters submitted to a vote are set forth below.</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presents the voting results of the election of Class I directors at this meeting: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20"/>
                <w:szCs w:val="20"/>
                <w:b w:val="1"/>
                <w:bCs w:val="1"/>
                <w:color w:val="auto"/>
              </w:rPr>
              <w:t>Name</w:t>
            </w:r>
          </w:p>
        </w:tc>
        <w:tc>
          <w:tcPr>
            <w:tcW w:w="3140" w:type="dxa"/>
            <w:vAlign w:val="bottom"/>
            <w:gridSpan w:val="3"/>
          </w:tcPr>
          <w:p>
            <w:pPr>
              <w:jc w:val="center"/>
              <w:ind w:left="981"/>
              <w:spacing w:after="0"/>
              <w:rPr>
                <w:sz w:val="20"/>
                <w:szCs w:val="20"/>
                <w:color w:val="auto"/>
              </w:rPr>
            </w:pPr>
            <w:r>
              <w:rPr>
                <w:rFonts w:ascii="Arial" w:cs="Arial" w:eastAsia="Arial" w:hAnsi="Arial"/>
                <w:sz w:val="20"/>
                <w:szCs w:val="20"/>
                <w:b w:val="1"/>
                <w:bCs w:val="1"/>
                <w:color w:val="auto"/>
                <w:w w:val="88"/>
              </w:rPr>
              <w:t>Votes For</w:t>
            </w:r>
          </w:p>
        </w:tc>
        <w:tc>
          <w:tcPr>
            <w:tcW w:w="2720" w:type="dxa"/>
            <w:vAlign w:val="bottom"/>
            <w:gridSpan w:val="3"/>
          </w:tcPr>
          <w:p>
            <w:pPr>
              <w:ind w:left="580"/>
              <w:spacing w:after="0"/>
              <w:rPr>
                <w:sz w:val="20"/>
                <w:szCs w:val="20"/>
                <w:color w:val="auto"/>
              </w:rPr>
            </w:pPr>
            <w:r>
              <w:rPr>
                <w:rFonts w:ascii="Arial" w:cs="Arial" w:eastAsia="Arial" w:hAnsi="Arial"/>
                <w:sz w:val="20"/>
                <w:szCs w:val="20"/>
                <w:b w:val="1"/>
                <w:bCs w:val="1"/>
                <w:color w:val="auto"/>
              </w:rPr>
              <w:t>Votes Withheld</w:t>
            </w:r>
          </w:p>
        </w:tc>
        <w:tc>
          <w:tcPr>
            <w:tcW w:w="1820" w:type="dxa"/>
            <w:vAlign w:val="bottom"/>
            <w:gridSpan w:val="2"/>
          </w:tcPr>
          <w:p>
            <w:pPr>
              <w:jc w:val="center"/>
              <w:ind w:right="300"/>
              <w:spacing w:after="0"/>
              <w:rPr>
                <w:sz w:val="20"/>
                <w:szCs w:val="20"/>
                <w:color w:val="auto"/>
              </w:rPr>
            </w:pPr>
            <w:r>
              <w:rPr>
                <w:rFonts w:ascii="Arial" w:cs="Arial" w:eastAsia="Arial" w:hAnsi="Arial"/>
                <w:sz w:val="20"/>
                <w:szCs w:val="20"/>
                <w:b w:val="1"/>
                <w:bCs w:val="1"/>
                <w:color w:val="auto"/>
                <w:w w:val="89"/>
              </w:rPr>
              <w:t>Broker Non-Votes</w:t>
            </w: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Ms. Sarah J. Anderson</w:t>
            </w:r>
          </w:p>
        </w:tc>
        <w:tc>
          <w:tcPr>
            <w:tcW w:w="3140" w:type="dxa"/>
            <w:vAlign w:val="bottom"/>
            <w:gridSpan w:val="3"/>
            <w:shd w:val="clear" w:color="auto" w:fill="CCEEFF"/>
          </w:tcPr>
          <w:p>
            <w:pPr>
              <w:jc w:val="center"/>
              <w:ind w:left="981"/>
              <w:spacing w:after="0"/>
              <w:rPr>
                <w:sz w:val="20"/>
                <w:szCs w:val="20"/>
                <w:color w:val="auto"/>
              </w:rPr>
            </w:pPr>
            <w:r>
              <w:rPr>
                <w:rFonts w:ascii="Arial" w:cs="Arial" w:eastAsia="Arial" w:hAnsi="Arial"/>
                <w:sz w:val="20"/>
                <w:szCs w:val="20"/>
                <w:color w:val="auto"/>
                <w:w w:val="89"/>
              </w:rPr>
              <w:t>27,193,469</w:t>
            </w:r>
          </w:p>
        </w:tc>
        <w:tc>
          <w:tcPr>
            <w:tcW w:w="1880" w:type="dxa"/>
            <w:vAlign w:val="bottom"/>
            <w:gridSpan w:val="2"/>
            <w:shd w:val="clear" w:color="auto" w:fill="CCEEFF"/>
          </w:tcPr>
          <w:p>
            <w:pPr>
              <w:jc w:val="center"/>
              <w:ind w:left="461"/>
              <w:spacing w:after="0"/>
              <w:rPr>
                <w:sz w:val="20"/>
                <w:szCs w:val="20"/>
                <w:color w:val="auto"/>
              </w:rPr>
            </w:pPr>
            <w:r>
              <w:rPr>
                <w:rFonts w:ascii="Arial" w:cs="Arial" w:eastAsia="Arial" w:hAnsi="Arial"/>
                <w:sz w:val="20"/>
                <w:szCs w:val="20"/>
                <w:color w:val="auto"/>
                <w:w w:val="88"/>
              </w:rPr>
              <w:t>301,331</w:t>
            </w:r>
          </w:p>
        </w:tc>
        <w:tc>
          <w:tcPr>
            <w:tcW w:w="840" w:type="dxa"/>
            <w:vAlign w:val="bottom"/>
            <w:shd w:val="clear" w:color="auto" w:fill="CCEEFF"/>
          </w:tcPr>
          <w:p>
            <w:pPr>
              <w:spacing w:after="0"/>
              <w:rPr>
                <w:sz w:val="21"/>
                <w:szCs w:val="21"/>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4,857,469</w:t>
            </w:r>
          </w:p>
        </w:tc>
        <w:tc>
          <w:tcPr>
            <w:tcW w:w="3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540" w:type="dxa"/>
            <w:vAlign w:val="bottom"/>
            <w:gridSpan w:val="2"/>
          </w:tcPr>
          <w:p>
            <w:pPr>
              <w:spacing w:after="0"/>
              <w:rPr>
                <w:sz w:val="20"/>
                <w:szCs w:val="20"/>
                <w:color w:val="auto"/>
              </w:rPr>
            </w:pPr>
            <w:r>
              <w:rPr>
                <w:rFonts w:ascii="Arial" w:cs="Arial" w:eastAsia="Arial" w:hAnsi="Arial"/>
                <w:sz w:val="20"/>
                <w:szCs w:val="20"/>
                <w:color w:val="auto"/>
              </w:rPr>
              <w:t>Mr. Steven D. Davis</w:t>
            </w:r>
          </w:p>
        </w:tc>
        <w:tc>
          <w:tcPr>
            <w:tcW w:w="3140" w:type="dxa"/>
            <w:vAlign w:val="bottom"/>
            <w:gridSpan w:val="3"/>
          </w:tcPr>
          <w:p>
            <w:pPr>
              <w:jc w:val="center"/>
              <w:ind w:left="981"/>
              <w:spacing w:after="0"/>
              <w:rPr>
                <w:sz w:val="20"/>
                <w:szCs w:val="20"/>
                <w:color w:val="auto"/>
              </w:rPr>
            </w:pPr>
            <w:r>
              <w:rPr>
                <w:rFonts w:ascii="Arial" w:cs="Arial" w:eastAsia="Arial" w:hAnsi="Arial"/>
                <w:sz w:val="20"/>
                <w:szCs w:val="20"/>
                <w:color w:val="auto"/>
                <w:w w:val="89"/>
              </w:rPr>
              <w:t>27,279,404</w:t>
            </w:r>
          </w:p>
        </w:tc>
        <w:tc>
          <w:tcPr>
            <w:tcW w:w="1880" w:type="dxa"/>
            <w:vAlign w:val="bottom"/>
            <w:gridSpan w:val="2"/>
          </w:tcPr>
          <w:p>
            <w:pPr>
              <w:jc w:val="center"/>
              <w:ind w:left="461"/>
              <w:spacing w:after="0"/>
              <w:rPr>
                <w:sz w:val="20"/>
                <w:szCs w:val="20"/>
                <w:color w:val="auto"/>
              </w:rPr>
            </w:pPr>
            <w:r>
              <w:rPr>
                <w:rFonts w:ascii="Arial" w:cs="Arial" w:eastAsia="Arial" w:hAnsi="Arial"/>
                <w:sz w:val="20"/>
                <w:szCs w:val="20"/>
                <w:color w:val="auto"/>
                <w:w w:val="88"/>
              </w:rPr>
              <w:t>215,396</w:t>
            </w:r>
          </w:p>
        </w:tc>
        <w:tc>
          <w:tcPr>
            <w:tcW w:w="84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20"/>
                <w:szCs w:val="20"/>
                <w:color w:val="auto"/>
                <w:w w:val="89"/>
              </w:rPr>
              <w:t>4,857,469</w:t>
            </w:r>
          </w:p>
        </w:tc>
        <w:tc>
          <w:tcPr>
            <w:tcW w:w="30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Ms. Anne M. Holloway</w:t>
            </w:r>
          </w:p>
        </w:tc>
        <w:tc>
          <w:tcPr>
            <w:tcW w:w="3140" w:type="dxa"/>
            <w:vAlign w:val="bottom"/>
            <w:gridSpan w:val="3"/>
            <w:shd w:val="clear" w:color="auto" w:fill="CCEEFF"/>
          </w:tcPr>
          <w:p>
            <w:pPr>
              <w:jc w:val="center"/>
              <w:ind w:left="981"/>
              <w:spacing w:after="0"/>
              <w:rPr>
                <w:sz w:val="20"/>
                <w:szCs w:val="20"/>
                <w:color w:val="auto"/>
              </w:rPr>
            </w:pPr>
            <w:r>
              <w:rPr>
                <w:rFonts w:ascii="Arial" w:cs="Arial" w:eastAsia="Arial" w:hAnsi="Arial"/>
                <w:sz w:val="20"/>
                <w:szCs w:val="20"/>
                <w:color w:val="auto"/>
                <w:w w:val="89"/>
              </w:rPr>
              <w:t>25,700,700</w:t>
            </w:r>
          </w:p>
        </w:tc>
        <w:tc>
          <w:tcPr>
            <w:tcW w:w="1880" w:type="dxa"/>
            <w:vAlign w:val="bottom"/>
            <w:gridSpan w:val="2"/>
            <w:shd w:val="clear" w:color="auto" w:fill="CCEEFF"/>
          </w:tcPr>
          <w:p>
            <w:pPr>
              <w:jc w:val="center"/>
              <w:ind w:left="481"/>
              <w:spacing w:after="0"/>
              <w:rPr>
                <w:sz w:val="20"/>
                <w:szCs w:val="20"/>
                <w:color w:val="auto"/>
              </w:rPr>
            </w:pPr>
            <w:r>
              <w:rPr>
                <w:rFonts w:ascii="Arial" w:cs="Arial" w:eastAsia="Arial" w:hAnsi="Arial"/>
                <w:sz w:val="20"/>
                <w:szCs w:val="20"/>
                <w:color w:val="auto"/>
                <w:w w:val="87"/>
              </w:rPr>
              <w:t>1,794,100</w:t>
            </w:r>
          </w:p>
        </w:tc>
        <w:tc>
          <w:tcPr>
            <w:tcW w:w="840" w:type="dxa"/>
            <w:vAlign w:val="bottom"/>
            <w:shd w:val="clear" w:color="auto" w:fill="CCEEFF"/>
          </w:tcPr>
          <w:p>
            <w:pPr>
              <w:spacing w:after="0"/>
              <w:rPr>
                <w:sz w:val="21"/>
                <w:szCs w:val="21"/>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4,857,469</w:t>
            </w:r>
          </w:p>
        </w:tc>
        <w:tc>
          <w:tcPr>
            <w:tcW w:w="300" w:type="dxa"/>
            <w:vAlign w:val="bottom"/>
            <w:shd w:val="clear" w:color="auto" w:fill="CCEEFF"/>
          </w:tcPr>
          <w:p>
            <w:pPr>
              <w:spacing w:after="0"/>
              <w:rPr>
                <w:sz w:val="21"/>
                <w:szCs w:val="21"/>
                <w:color w:val="auto"/>
              </w:rPr>
            </w:pPr>
          </w:p>
        </w:tc>
      </w:tr>
    </w:tbl>
    <w:p>
      <w:pPr>
        <w:spacing w:after="0" w:line="18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The advisory vote on the compensation of the Company’s named executive officers as described in the Company’s proxy statement, received the votes presented below. 96.8% of the total votes cast either in favor of or against the Company’s executive compensation plan were cast in favor of the plan.</w:t>
      </w:r>
    </w:p>
    <w:p>
      <w:pPr>
        <w:spacing w:after="0" w:line="75"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26,426,827 shares voted in favor</w:t>
      </w:r>
    </w:p>
    <w:p>
      <w:pPr>
        <w:spacing w:after="0" w:line="2"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860,287 shares voted against</w:t>
      </w:r>
    </w:p>
    <w:p>
      <w:pPr>
        <w:ind w:left="640" w:hanging="308"/>
        <w:spacing w:after="0" w:line="225"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207,686 shares abstained from voting</w:t>
      </w: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4,857,469 shares broker non-votes</w:t>
      </w:r>
    </w:p>
    <w:p>
      <w:pPr>
        <w:spacing w:after="0" w:line="78" w:lineRule="exact"/>
        <w:rPr>
          <w:sz w:val="20"/>
          <w:szCs w:val="20"/>
          <w:color w:val="auto"/>
        </w:rPr>
      </w:pPr>
    </w:p>
    <w:p>
      <w:pPr>
        <w:ind w:right="120" w:firstLine="648"/>
        <w:spacing w:after="0" w:line="237" w:lineRule="auto"/>
        <w:rPr>
          <w:sz w:val="20"/>
          <w:szCs w:val="20"/>
          <w:color w:val="auto"/>
        </w:rPr>
      </w:pPr>
      <w:r>
        <w:rPr>
          <w:rFonts w:ascii="Arial" w:cs="Arial" w:eastAsia="Arial" w:hAnsi="Arial"/>
          <w:sz w:val="20"/>
          <w:szCs w:val="20"/>
          <w:color w:val="auto"/>
        </w:rPr>
        <w:t>Shareholders ratified the appointment of PricewaterhouseCoopers LLP as our independent registered public accounting firm, with 31,830,867 voting in favor of the appointment, 362,594 shares voting against the appointment and 158,808 shares abstaining from voting on the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55" w:lineRule="exact"/>
        <w:rPr>
          <w:sz w:val="20"/>
          <w:szCs w:val="20"/>
          <w:color w:val="auto"/>
        </w:rPr>
      </w:pPr>
    </w:p>
    <w:p>
      <w:pPr>
        <w:ind w:right="220"/>
        <w:spacing w:after="0" w:line="254"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r>
        <w:rPr>
          <w:rFonts w:ascii="Arial" w:cs="Arial" w:eastAsia="Arial" w:hAnsi="Arial"/>
          <w:sz w:val="21"/>
          <w:szCs w:val="21"/>
          <w:color w:val="auto"/>
        </w:rPr>
        <w:t>.</w:t>
      </w:r>
    </w:p>
    <w:p>
      <w:pPr>
        <w:spacing w:after="0" w:line="71" w:lineRule="exact"/>
        <w:rPr>
          <w:sz w:val="20"/>
          <w:szCs w:val="20"/>
          <w:color w:val="auto"/>
        </w:rPr>
      </w:pPr>
    </w:p>
    <w:p>
      <w:pPr>
        <w:ind w:left="6000"/>
        <w:spacing w:after="0"/>
        <w:rPr>
          <w:sz w:val="20"/>
          <w:szCs w:val="20"/>
          <w:color w:val="auto"/>
        </w:rPr>
      </w:pPr>
      <w:r>
        <w:rPr>
          <w:rFonts w:ascii="Arial" w:cs="Arial" w:eastAsia="Arial" w:hAnsi="Arial"/>
          <w:sz w:val="22"/>
          <w:szCs w:val="22"/>
          <w:b w:val="1"/>
          <w:bCs w:val="1"/>
          <w:color w:val="auto"/>
        </w:rPr>
        <w:t>AMERICAN STATES WATER COMPANY</w:t>
      </w:r>
    </w:p>
    <w:p>
      <w:pPr>
        <w:spacing w:after="0" w:line="27" w:lineRule="exact"/>
        <w:rPr>
          <w:sz w:val="20"/>
          <w:szCs w:val="20"/>
          <w:color w:val="auto"/>
        </w:rPr>
      </w:pPr>
    </w:p>
    <w:p>
      <w:pPr>
        <w:ind w:left="20"/>
        <w:spacing w:after="0"/>
        <w:tabs>
          <w:tab w:leader="none" w:pos="7340" w:val="left"/>
        </w:tabs>
        <w:rPr>
          <w:sz w:val="20"/>
          <w:szCs w:val="20"/>
          <w:color w:val="auto"/>
        </w:rPr>
      </w:pPr>
      <w:r>
        <w:rPr>
          <w:rFonts w:ascii="Arial" w:cs="Arial" w:eastAsia="Arial" w:hAnsi="Arial"/>
          <w:sz w:val="22"/>
          <w:szCs w:val="22"/>
          <w:color w:val="auto"/>
        </w:rPr>
        <w:t>May 20, 2021</w:t>
      </w:r>
      <w:r>
        <w:rPr>
          <w:sz w:val="20"/>
          <w:szCs w:val="20"/>
          <w:color w:val="auto"/>
        </w:rPr>
        <w:tab/>
      </w:r>
      <w:r>
        <w:rPr>
          <w:rFonts w:ascii="Arial" w:cs="Arial" w:eastAsia="Arial" w:hAnsi="Arial"/>
          <w:sz w:val="19"/>
          <w:szCs w:val="19"/>
          <w:color w:val="auto"/>
        </w:rPr>
        <w:t>/s/ Eva G.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13335</wp:posOffset>
            </wp:positionV>
            <wp:extent cx="4080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80510" cy="8890"/>
                    </a:xfrm>
                    <a:prstGeom prst="rect">
                      <a:avLst/>
                    </a:prstGeom>
                    <a:noFill/>
                  </pic:spPr>
                </pic:pic>
              </a:graphicData>
            </a:graphic>
          </wp:anchor>
        </w:drawing>
      </w:r>
    </w:p>
    <w:p>
      <w:pPr>
        <w:jc w:val="center"/>
        <w:ind w:left="4800"/>
        <w:spacing w:after="0"/>
        <w:rPr>
          <w:sz w:val="20"/>
          <w:szCs w:val="20"/>
          <w:color w:val="auto"/>
        </w:rPr>
      </w:pPr>
      <w:r>
        <w:rPr>
          <w:rFonts w:ascii="Arial" w:cs="Arial" w:eastAsia="Arial" w:hAnsi="Arial"/>
          <w:sz w:val="22"/>
          <w:szCs w:val="22"/>
          <w:color w:val="auto"/>
        </w:rPr>
        <w:t>Eva G. Tang</w:t>
      </w:r>
    </w:p>
    <w:p>
      <w:pPr>
        <w:jc w:val="center"/>
        <w:ind w:left="4800"/>
        <w:spacing w:after="0" w:line="204" w:lineRule="auto"/>
        <w:rPr>
          <w:sz w:val="20"/>
          <w:szCs w:val="20"/>
          <w:color w:val="auto"/>
        </w:rPr>
      </w:pPr>
      <w:r>
        <w:rPr>
          <w:rFonts w:ascii="Arial" w:cs="Arial" w:eastAsia="Arial" w:hAnsi="Arial"/>
          <w:sz w:val="22"/>
          <w:szCs w:val="22"/>
          <w:color w:val="auto"/>
        </w:rPr>
        <w:t>Senior Vice President-Finance, Chief Financial Officer, Corporate</w:t>
      </w:r>
    </w:p>
    <w:p>
      <w:pPr>
        <w:spacing w:after="0" w:line="1" w:lineRule="exact"/>
        <w:rPr>
          <w:sz w:val="20"/>
          <w:szCs w:val="20"/>
          <w:color w:val="auto"/>
        </w:rPr>
      </w:pPr>
    </w:p>
    <w:p>
      <w:pPr>
        <w:jc w:val="center"/>
        <w:ind w:left="4800"/>
        <w:spacing w:after="0"/>
        <w:rPr>
          <w:sz w:val="20"/>
          <w:szCs w:val="20"/>
          <w:color w:val="auto"/>
        </w:rPr>
      </w:pPr>
      <w:r>
        <w:rPr>
          <w:rFonts w:ascii="Arial" w:cs="Arial" w:eastAsia="Arial" w:hAnsi="Arial"/>
          <w:sz w:val="22"/>
          <w:szCs w:val="22"/>
          <w:color w:val="auto"/>
        </w:rPr>
        <w:t>Secretary and Treasurer</w:t>
      </w:r>
    </w:p>
    <w:sectPr>
      <w:pgSz w:w="11900" w:h="16838" w:orient="portrait"/>
      <w:cols w:equalWidth="0" w:num="1">
        <w:col w:w="11240"/>
      </w:cols>
      <w:pgMar w:left="320" w:top="1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2021-05-20T15:43:08Z</dcterms:created>
  <dcterms:modified xsi:type="dcterms:W3CDTF">2021-05-20T15:43:08Z</dcterms:modified>
</cp:coreProperties>
</file>