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300" w:type="dxa"/>
        <w:tblCellMar>
          <w:top w:w="0" w:type="dxa"/>
          <w:left w:w="0" w:type="dxa"/>
          <w:bottom w:w="0" w:type="dxa"/>
          <w:right w:w="0" w:type="dxa"/>
        </w:tblCellMar>
      </w:tblPr>
      <w:tr>
        <w:trPr>
          <w:trHeight w:val="293"/>
        </w:trPr>
        <w:tc>
          <w:tcPr>
            <w:tcW w:w="1140" w:type="dxa"/>
            <w:vAlign w:val="bottom"/>
          </w:tcPr>
          <w:p>
            <w:pPr>
              <w:spacing w:after="0"/>
              <w:rPr>
                <w:sz w:val="24"/>
                <w:szCs w:val="24"/>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tc>
        <w:tc>
          <w:tcPr>
            <w:tcW w:w="0" w:type="dxa"/>
            <w:vAlign w:val="bottom"/>
          </w:tcPr>
          <w:p>
            <w:pPr>
              <w:spacing w:after="0"/>
              <w:rPr>
                <w:sz w:val="1"/>
                <w:szCs w:val="1"/>
                <w:color w:val="auto"/>
              </w:rPr>
            </w:pPr>
          </w:p>
        </w:tc>
      </w:tr>
      <w:tr>
        <w:trPr>
          <w:trHeight w:val="262"/>
        </w:trPr>
        <w:tc>
          <w:tcPr>
            <w:tcW w:w="1140" w:type="dxa"/>
            <w:vAlign w:val="bottom"/>
          </w:tcPr>
          <w:p>
            <w:pPr>
              <w:spacing w:after="0"/>
              <w:rPr>
                <w:sz w:val="22"/>
                <w:szCs w:val="22"/>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Washington, D.C. 20549</w:t>
            </w:r>
          </w:p>
        </w:tc>
        <w:tc>
          <w:tcPr>
            <w:tcW w:w="0" w:type="dxa"/>
            <w:vAlign w:val="bottom"/>
          </w:tcPr>
          <w:p>
            <w:pPr>
              <w:spacing w:after="0"/>
              <w:rPr>
                <w:sz w:val="1"/>
                <w:szCs w:val="1"/>
                <w:color w:val="auto"/>
              </w:rPr>
            </w:pPr>
          </w:p>
        </w:tc>
      </w:tr>
      <w:tr>
        <w:trPr>
          <w:trHeight w:val="603"/>
        </w:trPr>
        <w:tc>
          <w:tcPr>
            <w:tcW w:w="1140" w:type="dxa"/>
            <w:vAlign w:val="bottom"/>
          </w:tcPr>
          <w:p>
            <w:pPr>
              <w:spacing w:after="0"/>
              <w:rPr>
                <w:sz w:val="24"/>
                <w:szCs w:val="24"/>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31"/>
                <w:szCs w:val="31"/>
                <w:b w:val="1"/>
                <w:bCs w:val="1"/>
                <w:color w:val="auto"/>
              </w:rPr>
              <w:t>FORM 11-K</w:t>
            </w: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(Mark One)</w:t>
            </w:r>
          </w:p>
        </w:tc>
        <w:tc>
          <w:tcPr>
            <w:tcW w:w="0" w:type="dxa"/>
            <w:vAlign w:val="bottom"/>
          </w:tcPr>
          <w:p>
            <w:pPr>
              <w:spacing w:after="0"/>
              <w:rPr>
                <w:sz w:val="1"/>
                <w:szCs w:val="1"/>
                <w:color w:val="auto"/>
              </w:rPr>
            </w:pPr>
          </w:p>
        </w:tc>
      </w:tr>
      <w:tr>
        <w:trPr>
          <w:trHeight w:val="451"/>
        </w:trPr>
        <w:tc>
          <w:tcPr>
            <w:tcW w:w="1140" w:type="dxa"/>
            <w:vAlign w:val="bottom"/>
            <w:vMerge w:val="restart"/>
          </w:tcPr>
          <w:p>
            <w:pPr>
              <w:spacing w:after="0"/>
              <w:rPr>
                <w:sz w:val="20"/>
                <w:szCs w:val="20"/>
                <w:color w:val="auto"/>
              </w:rPr>
            </w:pPr>
            <w:r>
              <w:rPr>
                <w:rFonts w:ascii="Wingdings" w:cs="Wingdings" w:eastAsia="Wingdings" w:hAnsi="Wingdings"/>
                <w:sz w:val="25"/>
                <w:szCs w:val="25"/>
                <w:b w:val="1"/>
                <w:bCs w:val="1"/>
                <w:color w:val="auto"/>
              </w:rPr>
              <w:t>x</w:t>
            </w:r>
          </w:p>
        </w:tc>
        <w:tc>
          <w:tcPr>
            <w:tcW w:w="8260" w:type="dxa"/>
            <w:vAlign w:val="bottom"/>
          </w:tcPr>
          <w:p>
            <w:pPr>
              <w:jc w:val="center"/>
              <w:ind w:left="797"/>
              <w:spacing w:after="0"/>
              <w:rPr>
                <w:sz w:val="20"/>
                <w:szCs w:val="20"/>
                <w:color w:val="auto"/>
              </w:rPr>
            </w:pPr>
            <w:r>
              <w:rPr>
                <w:rFonts w:ascii="Times New Roman" w:cs="Times New Roman" w:eastAsia="Times New Roman" w:hAnsi="Times New Roman"/>
                <w:sz w:val="21"/>
                <w:szCs w:val="21"/>
                <w:b w:val="1"/>
                <w:bCs w:val="1"/>
                <w:color w:val="auto"/>
                <w:w w:val="98"/>
              </w:rPr>
              <w:t>ANNUAL REPORT PURSUANT TO SECTION 15(d) OF THE SECURITIES</w:t>
            </w:r>
          </w:p>
        </w:tc>
        <w:tc>
          <w:tcPr>
            <w:tcW w:w="0" w:type="dxa"/>
            <w:vAlign w:val="bottom"/>
          </w:tcPr>
          <w:p>
            <w:pPr>
              <w:spacing w:after="0"/>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8260" w:type="dxa"/>
            <w:vAlign w:val="bottom"/>
          </w:tcPr>
          <w:p>
            <w:pPr>
              <w:jc w:val="center"/>
              <w:ind w:left="797"/>
              <w:spacing w:after="0"/>
              <w:rPr>
                <w:sz w:val="20"/>
                <w:szCs w:val="20"/>
                <w:color w:val="auto"/>
              </w:rPr>
            </w:pPr>
            <w:r>
              <w:rPr>
                <w:rFonts w:ascii="Times New Roman" w:cs="Times New Roman" w:eastAsia="Times New Roman" w:hAnsi="Times New Roman"/>
                <w:sz w:val="21"/>
                <w:szCs w:val="21"/>
                <w:b w:val="1"/>
                <w:bCs w:val="1"/>
                <w:color w:val="auto"/>
                <w:w w:val="98"/>
              </w:rPr>
              <w:t>EXCHANGE ACT OF 1934</w:t>
            </w:r>
          </w:p>
        </w:tc>
        <w:tc>
          <w:tcPr>
            <w:tcW w:w="0" w:type="dxa"/>
            <w:vAlign w:val="bottom"/>
          </w:tcPr>
          <w:p>
            <w:pPr>
              <w:spacing w:after="0"/>
              <w:rPr>
                <w:sz w:val="1"/>
                <w:szCs w:val="1"/>
                <w:color w:val="auto"/>
              </w:rPr>
            </w:pPr>
          </w:p>
        </w:tc>
      </w:tr>
      <w:tr>
        <w:trPr>
          <w:trHeight w:val="970"/>
        </w:trPr>
        <w:tc>
          <w:tcPr>
            <w:tcW w:w="1140" w:type="dxa"/>
            <w:vAlign w:val="bottom"/>
          </w:tcPr>
          <w:p>
            <w:pPr>
              <w:spacing w:after="0"/>
              <w:rPr>
                <w:sz w:val="24"/>
                <w:szCs w:val="24"/>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30, 2025</w:t>
            </w: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8260" w:type="dxa"/>
            <w:vAlign w:val="bottom"/>
          </w:tcPr>
          <w:p>
            <w:pPr>
              <w:jc w:val="center"/>
              <w:ind w:left="17"/>
              <w:spacing w:after="0"/>
              <w:rPr>
                <w:sz w:val="20"/>
                <w:szCs w:val="20"/>
                <w:color w:val="auto"/>
              </w:rPr>
            </w:pPr>
            <w:r>
              <w:rPr>
                <w:rFonts w:ascii="Times New Roman" w:cs="Times New Roman" w:eastAsia="Times New Roman" w:hAnsi="Times New Roman"/>
                <w:sz w:val="16"/>
                <w:szCs w:val="16"/>
                <w:color w:val="auto"/>
                <w:w w:val="98"/>
              </w:rPr>
              <w:t>OR</w:t>
            </w:r>
          </w:p>
        </w:tc>
        <w:tc>
          <w:tcPr>
            <w:tcW w:w="0" w:type="dxa"/>
            <w:vAlign w:val="bottom"/>
          </w:tcPr>
          <w:p>
            <w:pPr>
              <w:spacing w:after="0"/>
              <w:rPr>
                <w:sz w:val="1"/>
                <w:szCs w:val="1"/>
                <w:color w:val="auto"/>
              </w:rPr>
            </w:pPr>
          </w:p>
        </w:tc>
      </w:tr>
      <w:tr>
        <w:trPr>
          <w:trHeight w:val="451"/>
        </w:trPr>
        <w:tc>
          <w:tcPr>
            <w:tcW w:w="1140" w:type="dxa"/>
            <w:vAlign w:val="bottom"/>
            <w:vMerge w:val="restart"/>
          </w:tcPr>
          <w:p>
            <w:pPr>
              <w:ind w:left="40"/>
              <w:spacing w:after="0"/>
              <w:rPr>
                <w:sz w:val="20"/>
                <w:szCs w:val="20"/>
                <w:color w:val="auto"/>
              </w:rPr>
            </w:pPr>
            <w:r>
              <w:rPr>
                <w:rFonts w:ascii="Wingdings" w:cs="Wingdings" w:eastAsia="Wingdings" w:hAnsi="Wingdings"/>
                <w:sz w:val="22"/>
                <w:szCs w:val="22"/>
                <w:b w:val="1"/>
                <w:bCs w:val="1"/>
                <w:color w:val="auto"/>
                <w:highlight w:val="black"/>
              </w:rPr>
              <w:t>o</w:t>
            </w:r>
          </w:p>
        </w:tc>
        <w:tc>
          <w:tcPr>
            <w:tcW w:w="8260" w:type="dxa"/>
            <w:vAlign w:val="bottom"/>
          </w:tcPr>
          <w:p>
            <w:pPr>
              <w:jc w:val="center"/>
              <w:ind w:left="797"/>
              <w:spacing w:after="0"/>
              <w:rPr>
                <w:sz w:val="20"/>
                <w:szCs w:val="20"/>
                <w:color w:val="auto"/>
              </w:rPr>
            </w:pPr>
            <w:r>
              <w:rPr>
                <w:rFonts w:ascii="Times New Roman" w:cs="Times New Roman" w:eastAsia="Times New Roman" w:hAnsi="Times New Roman"/>
                <w:sz w:val="21"/>
                <w:szCs w:val="21"/>
                <w:b w:val="1"/>
                <w:bCs w:val="1"/>
                <w:color w:val="auto"/>
                <w:w w:val="98"/>
              </w:rPr>
              <w:t>TRANSITION REPORT PURSUANT TO SECTION 15(d) OF THE SECURITIES</w:t>
            </w:r>
          </w:p>
        </w:tc>
        <w:tc>
          <w:tcPr>
            <w:tcW w:w="0" w:type="dxa"/>
            <w:vAlign w:val="bottom"/>
          </w:tcPr>
          <w:p>
            <w:pPr>
              <w:spacing w:after="0"/>
              <w:rPr>
                <w:sz w:val="1"/>
                <w:szCs w:val="1"/>
                <w:color w:val="auto"/>
              </w:rPr>
            </w:pPr>
          </w:p>
        </w:tc>
      </w:tr>
      <w:tr>
        <w:trPr>
          <w:trHeight w:val="138"/>
        </w:trPr>
        <w:tc>
          <w:tcPr>
            <w:tcW w:w="1140" w:type="dxa"/>
            <w:vAlign w:val="bottom"/>
            <w:vMerge w:val="continue"/>
          </w:tcPr>
          <w:p>
            <w:pPr>
              <w:spacing w:after="0"/>
              <w:rPr>
                <w:sz w:val="12"/>
                <w:szCs w:val="12"/>
                <w:color w:val="auto"/>
              </w:rPr>
            </w:pPr>
          </w:p>
        </w:tc>
        <w:tc>
          <w:tcPr>
            <w:tcW w:w="8260" w:type="dxa"/>
            <w:vAlign w:val="bottom"/>
            <w:vMerge w:val="restart"/>
          </w:tcPr>
          <w:p>
            <w:pPr>
              <w:jc w:val="center"/>
              <w:ind w:left="797"/>
              <w:spacing w:after="0"/>
              <w:rPr>
                <w:sz w:val="20"/>
                <w:szCs w:val="20"/>
                <w:color w:val="auto"/>
              </w:rPr>
            </w:pPr>
            <w:r>
              <w:rPr>
                <w:rFonts w:ascii="Times New Roman" w:cs="Times New Roman" w:eastAsia="Times New Roman" w:hAnsi="Times New Roman"/>
                <w:sz w:val="21"/>
                <w:szCs w:val="21"/>
                <w:b w:val="1"/>
                <w:bCs w:val="1"/>
                <w:color w:val="auto"/>
                <w:w w:val="98"/>
              </w:rPr>
              <w:t>EXCHANGE ACT OF 1934</w:t>
            </w: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8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4"/>
        </w:trPr>
        <w:tc>
          <w:tcPr>
            <w:tcW w:w="1140" w:type="dxa"/>
            <w:vAlign w:val="bottom"/>
          </w:tcPr>
          <w:p>
            <w:pPr>
              <w:spacing w:after="0"/>
              <w:rPr>
                <w:sz w:val="24"/>
                <w:szCs w:val="24"/>
                <w:color w:val="auto"/>
              </w:rPr>
            </w:pPr>
          </w:p>
        </w:tc>
        <w:tc>
          <w:tcPr>
            <w:tcW w:w="8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______________</w:t>
            </w:r>
          </w:p>
        </w:tc>
        <w:tc>
          <w:tcPr>
            <w:tcW w:w="0" w:type="dxa"/>
            <w:vAlign w:val="bottom"/>
          </w:tcPr>
          <w:p>
            <w:pPr>
              <w:spacing w:after="0"/>
              <w:rPr>
                <w:sz w:val="1"/>
                <w:szCs w:val="1"/>
                <w:color w:val="auto"/>
              </w:rPr>
            </w:pPr>
          </w:p>
        </w:tc>
      </w:tr>
    </w:tbl>
    <w:p>
      <w:pPr>
        <w:spacing w:after="0" w:line="15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Commission file number: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14431</w:t>
      </w: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1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32"/>
          <w:szCs w:val="32"/>
          <w:b w:val="1"/>
          <w:bCs w:val="1"/>
          <w:color w:val="auto"/>
        </w:rPr>
        <w:t>Golden State Water Company Investment Incentive Program</w:t>
      </w:r>
    </w:p>
    <w:p>
      <w:pPr>
        <w:spacing w:after="0" w:line="25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 address of its principal executive office: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American States Water Company</w:t>
      </w:r>
    </w:p>
    <w:p>
      <w:pPr>
        <w:spacing w:after="0" w:line="28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630 East Foothill Boulevard</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San Dimas, California 91773</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60" w:type="dxa"/>
            <w:vAlign w:val="bottom"/>
          </w:tcPr>
          <w:p>
            <w:pPr>
              <w:spacing w:after="0"/>
              <w:rPr>
                <w:sz w:val="18"/>
                <w:szCs w:val="18"/>
                <w:color w:val="auto"/>
              </w:rPr>
            </w:pPr>
          </w:p>
        </w:tc>
        <w:tc>
          <w:tcPr>
            <w:tcW w:w="32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60" w:type="dxa"/>
            <w:vAlign w:val="bottom"/>
            <w:gridSpan w:val="3"/>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9"/>
              </w:rPr>
              <w:t>American States Water Company</w:t>
            </w: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25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9"/>
              </w:rPr>
              <w:t>Common shares</w:t>
            </w:r>
          </w:p>
        </w:tc>
        <w:tc>
          <w:tcPr>
            <w:tcW w:w="660" w:type="dxa"/>
            <w:vAlign w:val="bottom"/>
          </w:tcPr>
          <w:p>
            <w:pPr>
              <w:spacing w:after="0"/>
              <w:rPr>
                <w:sz w:val="21"/>
                <w:szCs w:val="21"/>
                <w:color w:val="auto"/>
              </w:rPr>
            </w:pPr>
          </w:p>
        </w:tc>
        <w:tc>
          <w:tcPr>
            <w:tcW w:w="25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5"/>
              </w:rPr>
              <w:t>AWR</w:t>
            </w:r>
          </w:p>
        </w:tc>
        <w:tc>
          <w:tcPr>
            <w:tcW w:w="41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425"/>
        </w:trPr>
        <w:tc>
          <w:tcPr>
            <w:tcW w:w="1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Golden State Water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Investment Incentive Program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Financial Statements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Supplemental Schedule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As of December 30, 2025 and 2024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the Plan Year Ended December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ind w:left="4120"/>
        <w:spacing w:after="0"/>
        <w:rPr>
          <w:sz w:val="20"/>
          <w:szCs w:val="20"/>
          <w:color w:val="auto"/>
        </w:rPr>
      </w:pPr>
      <w:r>
        <w:rPr>
          <w:rFonts w:ascii="Times New Roman" w:cs="Times New Roman" w:eastAsia="Times New Roman" w:hAnsi="Times New Roman"/>
          <w:sz w:val="23"/>
          <w:szCs w:val="23"/>
          <w:b w:val="1"/>
          <w:bCs w:val="1"/>
          <w:color w:val="auto"/>
        </w:rPr>
        <w:t>Golden State Water Company</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3"/>
          <w:szCs w:val="23"/>
          <w:b w:val="1"/>
          <w:bCs w:val="1"/>
          <w:color w:val="auto"/>
        </w:rPr>
        <w:t>Investment Incentive Program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16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88"/>
              </w:rPr>
              <w:t>1</w:t>
            </w:r>
          </w:p>
        </w:tc>
      </w:tr>
      <w:tr>
        <w:trPr>
          <w:trHeight w:val="392"/>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80" w:type="dxa"/>
            <w:vAlign w:val="bottom"/>
          </w:tcPr>
          <w:p>
            <w:pPr>
              <w:spacing w:after="0"/>
              <w:rPr>
                <w:sz w:val="24"/>
                <w:szCs w:val="24"/>
                <w:color w:val="auto"/>
              </w:rPr>
            </w:pPr>
          </w:p>
        </w:tc>
      </w:tr>
      <w:tr>
        <w:trPr>
          <w:trHeight w:val="392"/>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Net Assets Available for Plan Benefits as of December 30, 2025 and 2024</w:t>
            </w:r>
          </w:p>
        </w:tc>
        <w:tc>
          <w:tcPr>
            <w:tcW w:w="16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88"/>
              </w:rPr>
              <w:t>2</w:t>
            </w:r>
          </w:p>
        </w:tc>
      </w:tr>
      <w:tr>
        <w:trPr>
          <w:trHeight w:val="392"/>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Changes in Net Assets Available for Plan Benefits for the Year Ended December 30, 2025</w:t>
            </w:r>
          </w:p>
        </w:tc>
        <w:tc>
          <w:tcPr>
            <w:tcW w:w="16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88"/>
              </w:rPr>
              <w:t>3</w:t>
            </w:r>
          </w:p>
        </w:tc>
      </w:tr>
      <w:tr>
        <w:trPr>
          <w:trHeight w:val="391"/>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tc>
        <w:tc>
          <w:tcPr>
            <w:tcW w:w="168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88"/>
              </w:rPr>
              <w:t>4</w:t>
            </w:r>
          </w:p>
        </w:tc>
      </w:tr>
      <w:tr>
        <w:trPr>
          <w:trHeight w:val="392"/>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680" w:type="dxa"/>
            <w:vAlign w:val="bottom"/>
          </w:tcPr>
          <w:p>
            <w:pPr>
              <w:spacing w:after="0"/>
              <w:rPr>
                <w:sz w:val="24"/>
                <w:szCs w:val="24"/>
                <w:color w:val="auto"/>
              </w:rPr>
            </w:pPr>
          </w:p>
        </w:tc>
      </w:tr>
      <w:tr>
        <w:trPr>
          <w:trHeight w:val="392"/>
        </w:trPr>
        <w:tc>
          <w:tcPr>
            <w:tcW w:w="9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5500 - Schedule H - Line 4i - Schedule of Assets (Held at End of Plan Year) as of December 30, 2025</w:t>
            </w:r>
          </w:p>
        </w:tc>
        <w:tc>
          <w:tcPr>
            <w:tcW w:w="16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12</w:t>
            </w:r>
          </w:p>
        </w:tc>
      </w:tr>
      <w:tr>
        <w:trPr>
          <w:trHeight w:val="392"/>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6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13</w:t>
            </w:r>
          </w:p>
        </w:tc>
      </w:tr>
      <w:tr>
        <w:trPr>
          <w:trHeight w:val="391"/>
        </w:trPr>
        <w:tc>
          <w:tcPr>
            <w:tcW w:w="9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23.1 - Consent of Independent Registered Public Accounting Firm</w:t>
            </w:r>
          </w:p>
        </w:tc>
        <w:tc>
          <w:tcPr>
            <w:tcW w:w="16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322"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Note: All schedules other than that listed above have been omitted since the information is either disclosed elsewhere in the financial statements or not required by 29 CFR 2520.103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 of the Department of Labor’s Rules and Regulations for Reporting and Disclosure under the Employee Retirement Income Security Act 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3380"/>
        <w:spacing w:after="0" w:line="282" w:lineRule="auto"/>
        <w:rPr>
          <w:sz w:val="20"/>
          <w:szCs w:val="20"/>
          <w:color w:val="auto"/>
        </w:rPr>
      </w:pPr>
      <w:r>
        <w:rPr>
          <w:rFonts w:ascii="Times New Roman" w:cs="Times New Roman" w:eastAsia="Times New Roman" w:hAnsi="Times New Roman"/>
          <w:sz w:val="18"/>
          <w:szCs w:val="18"/>
          <w:color w:val="auto"/>
        </w:rPr>
        <w:t>To the Golden State Water Company Investment Incentive Program Plan Administrator and Plan Participants San Dimas,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plan benefits of the Golden State Water Company Investment Incentive Program (the “Plan”) as of December 30, 2025 and 2024, the related statement of changes in net assets available for plan benefits for the year ended December 30, 2025, and the related notes (collectively, the “financial statements”). In our opinion, the financial statements present fairly, in all material respects, the net assets available for plan benefits of the Plan as of December 30, 2025 and 2024, and the changes in net assets available for plan benefits for the year ended December 30,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supplemental information in the accompanying supplemental schedule of assets (held at end of year) as of December 30,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4"/>
          <w:szCs w:val="24"/>
          <w:b w:val="1"/>
          <w:bCs w:val="1"/>
          <w:color w:val="auto"/>
        </w:rPr>
        <w:t>Golden State Water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Investment Incentive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Statements of Net Assets Available for Plan Benefits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As of December 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230,927,099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206,485,860</w:t>
            </w:r>
          </w:p>
        </w:tc>
      </w:tr>
      <w:tr>
        <w:trPr>
          <w:trHeight w:val="270"/>
        </w:trPr>
        <w:tc>
          <w:tcPr>
            <w:tcW w:w="8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Employer contributions receivable, net of forfeitures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122,211</w:t>
            </w:r>
          </w:p>
        </w:tc>
      </w:tr>
      <w:tr>
        <w:trPr>
          <w:trHeight w:val="230"/>
        </w:trPr>
        <w:tc>
          <w:tcPr>
            <w:tcW w:w="8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Employee contributions receivable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r>
      <w:tr>
        <w:trPr>
          <w:trHeight w:val="229"/>
        </w:trPr>
        <w:tc>
          <w:tcPr>
            <w:tcW w:w="82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Notes receivable from participants, net of reserve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3,257,645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3,063,634</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3,257,645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3,191,569</w:t>
            </w:r>
          </w:p>
        </w:tc>
      </w:tr>
      <w:tr>
        <w:trPr>
          <w:trHeight w:val="237"/>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234,184,744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209,677,429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4"/>
          <w:szCs w:val="24"/>
          <w:b w:val="1"/>
          <w:bCs w:val="1"/>
          <w:color w:val="auto"/>
        </w:rPr>
        <w:t>Golden State Water Company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Investment Incentive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Statement of Changes in Net Assets Available for Plan Benefits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For the year ended December 30,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45"/>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7,651,470</w:t>
            </w:r>
          </w:p>
        </w:tc>
      </w:tr>
      <w:tr>
        <w:trPr>
          <w:trHeight w:val="230"/>
        </w:trPr>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rollovers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1,033,102</w:t>
            </w:r>
          </w:p>
        </w:tc>
      </w:tr>
      <w:tr>
        <w:trPr>
          <w:trHeight w:val="229"/>
        </w:trPr>
        <w:tc>
          <w:tcPr>
            <w:tcW w:w="9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Employer, net of forfeitures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6,130,888</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9"/>
        </w:trPr>
        <w:tc>
          <w:tcPr>
            <w:tcW w:w="9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contributions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14,815,460</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26,195,513</w:t>
            </w:r>
          </w:p>
        </w:tc>
      </w:tr>
      <w:tr>
        <w:trPr>
          <w:trHeight w:val="229"/>
        </w:trPr>
        <w:tc>
          <w:tcPr>
            <w:tcW w:w="9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and dividends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1,266,290</w:t>
            </w:r>
          </w:p>
        </w:tc>
      </w:tr>
      <w:tr>
        <w:trPr>
          <w:trHeight w:val="223"/>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27,461,803</w:t>
            </w:r>
          </w:p>
        </w:tc>
      </w:tr>
      <w:tr>
        <w:trPr>
          <w:trHeight w:val="162"/>
        </w:trPr>
        <w:tc>
          <w:tcPr>
            <w:tcW w:w="9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268,365</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additions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42,545,628</w:t>
            </w:r>
          </w:p>
        </w:tc>
      </w:tr>
      <w:tr>
        <w:trPr>
          <w:trHeight w:val="270"/>
        </w:trPr>
        <w:tc>
          <w:tcPr>
            <w:tcW w:w="9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 to participants and change in defaulted notes receivable from participants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17,716,409</w:t>
            </w: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321,904</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18,038,313</w:t>
            </w:r>
          </w:p>
        </w:tc>
      </w:tr>
      <w:tr>
        <w:trPr>
          <w:trHeight w:val="142"/>
        </w:trPr>
        <w:tc>
          <w:tcPr>
            <w:tcW w:w="9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24,507,315</w:t>
            </w:r>
          </w:p>
        </w:tc>
      </w:tr>
      <w:tr>
        <w:trPr>
          <w:trHeight w:val="162"/>
        </w:trPr>
        <w:tc>
          <w:tcPr>
            <w:tcW w:w="9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9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209,677,429</w:t>
            </w:r>
          </w:p>
        </w:tc>
      </w:tr>
      <w:tr>
        <w:trPr>
          <w:trHeight w:val="142"/>
        </w:trPr>
        <w:tc>
          <w:tcPr>
            <w:tcW w:w="9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234,184,744</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Plan Description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Golden State Water Company Investment Incentive Program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 defined contribution plan established by Golden State Water Company (the “Company” or “GSWC”) under the provisions of Section 401(a) of the Internal Revenue Code (the “IRC”) which includes a qualified cash or deferred arrangement as described in Section 401(k) of the IRC, for the benefit of eligible employees. The Plan is subject to the provisions of the Employee Retirement Income Security Act of 1974, as amended (“ERISA”).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inception of the Plan, the Company maintained the Payroll-Based Tax Credit Employee Stock Ownership Plan (the “PAYSOP”) for the benefit of participating employees and their beneficiaries. Under the PAYSOP, the Company contributed amounts equal to a tax credit claimed by the Company on its federal income tax return. This credit was calculated as a percentage of qualifying payroll. The Tax Reform Act of 1986 eliminated this credit for tax years after 1986. As a result, the Company terminated the PAYSOP and transferred the net assets into the Plan effective January 1, 1988. The trustee of the Plan maintains a separate account for the net assets that were transferred from the PAYSOP. The net assets relating to the PAYSOP amounted to $1,005,981 and $1,100,264 as of December 30, 2025 and 2024, respectively. Such net assets as of December 30, 2025 and 2024 are participant directed investments.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1998, the Company formed a holding company, American States Water Company (“ASWC”). At the time of the formation, the Plan’s investments in the Company’s common stock changed to an investment in ASWC common stock. As of December 30, 2025, ASWC has no material assets other than the common stock of the Company and its other wholly-owned subsidiaries, Bear Valley Electric Service, Inc. (“BVES”) and American States Utility Services, Inc. (“ASUS”).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administered by the Investment Incentive Program Administrative Committee (the “Plan Administrator” or “Committee”), which is appointed by GSWC’s Board of Directors. John Hancock Retirement Plan Services provides the record keeping services and John Hancock Trust Company, LLC (“Trustee”) serves as the Plan’s appointed trustee.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ASWC Common Stock Fund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2003, the ASWC Common Stock Fund was deemed an ‘employee stock ownership plan’ within the meaning of Section 4975(e)(7) of the IRC and ERISA Section 407(d)(6) that is intended to invest primarily in the common stock of ASWC.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employee in participating business units who has completed a period of service of 30 consecutive days is eligible to participate in the Plan. The Plan provides for automatic enrollment. Participation begins on the first day of the payroll period coincident with or next, following the attainment of 30 consecutive days of service. Participating business units include GSWC, BVES, corporate employees of ASUS, and exempt employees of ASUS’s subsidiaries. The Plan was amended in December 2014 to allow non-exempt employees of ASUS’s subsidiaries to participate, effective January 1, 2015. Non-exempt employees of ASUS’s subsidiaries hired on or after January 1, 2015 are automatically eligible to participate in the Plan. Those hired before January 1, 2015 are covered under separate benefit programs if they did not elect to participate in the Plan.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Eligible employees meeting the service requirements are auto-enrolled in the Plan at an employee contribution rate of three percent. This will generate a dollar for dollar employer matching contribution up to the limits described below. Employees are given the option to elect additional contributions, to decline contributions altogether, or to remain at three percent. Furthermore, employees are requested to select the funds into which their contribution will be deposited. The default fund for employees making no elections is the appropriate T. Rowe Price Retirement Fund, based on the employee’s expected retirement date.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Eligible employees hired or rehired on or after January 1, 2011 are auto-enrolled in the Profit Sharing feature of the Plan, once they have completed a period of service of 30 consecutive days. The Plan was amended in 2018 to cover all ASUS employees previously excluded from the Plan, unless the employee currently accrues benefits under the Defined Benefit Pension Plan, which has been closed to new employees since December 31, 2010.</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profit sharing contributions amount to 5.25% of eligible pay for GSWC and BVES employees. The 2018 plan amendment changed the Company profit sharing contribution for ASUS employees from 5.25% to 3%. All Company contributions are deposited into employee directed funds. Employees may elect to direct these contributions into any fund available under the Plan, except the ASWC Common Stock Fund. The default fund for employees making no elections is the appropriate T. Rowe Price Retirement Fund, based on the employee’s expected retirement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Eligible employees can contribute an amount between 1% and 50% of compensation as defined in the Plan document and amendments, subject to certain IRC limitations. Participants who have attained age 50 before the end of the Plan year, who have met the annual IRC deferral limit or the specified Plan limits for deferral, are eligible to make catch-up contributions, subject to certain IRC limitations. In addition, eligible employees are provided with matching employer contributions to their accounts of 100 percent of the first 3% and 50 percent of the next 3% contributed by a participant. At the end of the Plan year, the Company may make an additional matching contribution for each dollar participants contribute up to the full matching contribution (“True-Up Contribution”). Participants must be employed on the last day of the Plan year in order to receive the True-Up Contribution, if any.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matching contribution for each participant is made to the same investment funds to which the participant’s compensation deferral contribution is made in a given payroll period. If the participant’s contribution is to any fund other than the ASWC Common Stock Fund, the match is made in cash. If the matching contribution is made to the ASWC Common Stock Fund, the Plan has the option to fund the match in cash and ASWC Common Stock, or entirely in cash. For the Plan year ended December 30, 2025, all Company matching contributions to the ASWC Common Stock were made in cash. All investments are participant directed.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may elect to contribute to the Plan in the traditional pre-tax manner, or contribute post-tax dollars to the Roth portion of the Plan. Employee contributions may be split between Roth and traditional pre-tax, but the matching provisions of the Plan relating to the amount of contributions and Company matching contributions will apply to the total. Company matching contributions are always made in pre-tax dollars. Rollover contributions from qualified plans are permitted.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cannot make contributions to the Profit Sharing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are always fully vested in their contributions and the employer matching contributions made to their account, plus actual earnings thereon.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Sharing contributions, plus actual earnings thereon, vest when the participant attains three years of service.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Benefits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benefits under the Plan become distributable upon termination of service, as defined in the Plan document. Participants electing to have their distribution deferred will receive benefits equal to the amounts credited to their account as of the distribution value date, as defined in the Plan document. The value of benefits distributable to a participant not electing deferral is based upon amounts credited to the participants account under the Plan as of the distribution value date, except as described below.</w:t>
      </w:r>
    </w:p>
    <w:p>
      <w:pPr>
        <w:spacing w:after="0" w:line="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participant shall be entitled to request an in-service withdrawal of the lesser of the balance of their account or the total unwithdrawn deferral contributions after the participant has attained age 59 1/2. Subject to the approval of the Plan Administrator, withdrawals from a participant’s vested account before age 59 1/2 may be permitted to meet a financial hardship, as defined in the Plan document. The Plan was amended effective January 1, 2020, to reflect final regulations published by the Internal Revenue Service (“IRS”) on hardship distributions under Investment Incentive (401k) Plans. Otherwise, withdrawals from a Plan participant’s vested account are permitted only after termination of employment or upon death or total disability. A participant who has attained age 55 and completed at least ten years of participation in the Plan (including any years of participation in the PAYSOP) may elect a distribution of a portion of the participant’s PAYSOP account attributable to shares of ASWC Common Stock after December 31, 1986, as provided in Section 401(a)(28)(B) of the IRC.</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Plan participant’s account is credited or debited with the participant’s contributions and/or employer contributions, as well as the participant’s share of the Plan’s earnings or losses. Certain administrative expenses are charged directly to a specific participant’s account. The benefit to which a participant is entitled is the benefit that can be provided from the participant’s account balance.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Participant incurs a severance from service when they are not 100% vested in their Profit Sharing Account, the unvested portion of such accounts shall be forfeited. Any amount that has been forfeited under the Plan shall be applied first to pay expenses and fees in connection with the administration of the Plan and then, to the extent that any such forfeitures remain, shall be used to reduce Employer contributions. As of December 30, 2025 and 2024, there were $318,940 and $31,855, respectively, of unused forfeitures. For the Plan years ended December 30, 2025 and 2024, forfeitures used to pay plan fees and to reduce Employer contributions were $164,633 and $381,404,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Notes receivable from participants consist of participants’ loans borrowed on their eligible accounts. Participants may not borrow on their profit sharing balances. Participants may borrow from their eligible account a minimum of $1,000 and up to a maximum amount equal to the lesser of $50,000 or 50% of their account balance. Loan transactions are treated as a transfer between the investment fund and the Participant Loan Fund. Principal and interest are repayable ratably through payroll deductions over a period of no more than 59 months for all loans, except for loans made to purchase a primary residence, which must be repaid within a period of no more than 10 years. The loans bear interest at prime rate plus one percent. The interest rates on loans outstanding as of December 30, 2025 ranged from 4.25% to 9.50% and mature on various dates through 2035. A loan shall be in default if any scheduled payment is not paid by the last day of the calendar quarter following the calendar quarter in which such scheduled payment was due. A participant who terminates employment and has an outstanding loan balance may continue to make payments directly to the Trustee in order to avoid default.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determines the collectability of participant loans on a periodic basis. This determination is made based on the terms of the Plan document and the related Plan policies and procedures. Those participant loans that are deemed uncollectible are reserved and included as loans in default in the financial statements and the Form 5500 in the year the determination is made. As of December 30, 2025 and 2024, participant loans deemed uncollectible were $211,518 and $167,694,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prepared on the accrual basis of accounting in accordance with accounting principles generally accepted in the United States of America.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Plan’s management to make estimates and assumptions that affect the reported amounts of assets, liabilities and changes therein, and disclosure of contingent assets and liabilities. Actual results could materially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Plan’s investment in the ASWC Common Stock Fund amounted to $25,862,100 and $28,624,645 as of December 30, 2025 and 2024, respectively. Such investments represented approximately 11% and 14% of the Plan’s total net assets as of December 30, 2025 and 2024, respectively. For risks and uncertainties regarding ASWC, participants should refer to ASWC’s most recent Form 10-K and Form 10-Q filed with the Securities and Exchange Commission. The Plan provides for various investment options in mutual funds, common and collective trust investment funds, and the ASWC Common Stock Fund. Such investment options are exposed to various risks such as interest rate, market and credit risk. Due to the level of risk associated with certain investment securities and the level of uncertainty related to changes in the value of investment securities, it is at least reasonably possible that changes in the various risk factors in the near term could materially affect the amounts reported in the financial statements.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invests in common and collective trust investment funds that hold securities of foreign companies, which involve special risks and considerations not typically associated with investing in U.S. companies. These risks include devaluation of currencies, less reliable information about issuers, different securities transactions and changes in foreign currency translation clearance and settlement practices, and possible adverse political and economic developments. Moreover, securities of many foreign companies and their markets may be less liquid and their prices more volatile than those of securities of comparable U.S. companies.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contributions, related matching contributions and profit-sharing contributions are recognized in the Plan year during which the Company makes payroll deductions from the participant's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are stated at fair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Appreciation in Fair Value of Investments and Income Recognition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appreciation in fair value of investments is based on the fair value of the assets at the beginning of the year or at the time of purchase for assets purchased during the year and the related fair values on the day investments are sold with respect to realized gains and losses, and on the last day of the year with respect to unrealized gains and losses. Net realized and unrealized appreciation (depreciation) is recorded in the accompanying Statement of Changes in Net Assets Available for Plan Benefits as net appreciation (depreciation) in fair value of investments.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52525"/>
        </w:rPr>
        <w:t>Purchases and sales of securities are recorded on a trade-date basis. Interest income is recorded on the accrual basis. Dividends are recorded on the ex-dividend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Accrued but unpaid interest was insignificant at December 30, 2025 and 2024. Delinquent participant loans are reclassified as distributions based upon the terms of the Plan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fees for accountants, legal counsel and other specialists and any other costs of administering the Plan, unless paid directly by the Company, are paid by the Plan and charged against participants’ accounts or paid by forfeitures. Certain administrative expenses directly relating to a participant’s account, such as loan processing fees, are specifically allocated and deducted from the specific participant’s account. The Company is not obligated to pay the Plan’s expenses and any Plan expenses paid by the Company are excluded from these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expenses incurred related to the net assets of the former PAYSOP account that are paid out of the Plan are limited to the lesser of (i) the sum of 10 percent of the first $100,000 and 5 percent of any amount in excess of $100,000 of the income from dividends paid to the Plan with respect to ASWC common stock allocated to the PAYSOP account during the Plan year, or (ii) $100,000.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has evaluated subsequent events through June 26, 2026, the date the financial statements were available to be filed and has determined that there were no material events requiring recognition or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Options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direct their investment into various fund options and may change their investment elections on a daily basis, in full percentage increments. Certain participants may be restricted to specific periods during which ASWC common stock can be traded. Participants should refer to the fund information provided by the Trustee for a complete description of the investment options and detailed composition of each investment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52525"/>
        </w:rPr>
        <w:t>Accounting guidance for the fair value measurement of financial assets and liabilities establishes a hierarchy that prioritizes the inputs to valuation techniques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under this guidance are described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Fair Value Measurement</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9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Unadjusted quoted prices in active markets that are accessible at the measurement date for identical, unrestricted assets or</w:t>
            </w:r>
          </w:p>
        </w:tc>
      </w:tr>
      <w:tr>
        <w:trPr>
          <w:trHeight w:val="234"/>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Quoted prices in markets that are not considered to be active or financial instruments for which all significant inputs are</w:t>
            </w:r>
          </w:p>
        </w:tc>
      </w:tr>
      <w:tr>
        <w:trPr>
          <w:trHeight w:val="234"/>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observable, either directly or indirectly; and</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Prices or valuations that require inputs that are both significant to the fair value measurement and unobservable.</w:t>
            </w: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The following tables set forth the Plan’s investment assets measured at fair value as of December 30,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2025 and 2024 within the fair value hierarchy, as well as investment assets measured at net asset value (“NAV”). As required by the accounting guidance, assets and liabilities are classified in their entirety based on the lowest level of input that is significant to the fair value measurement.</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30, 2025</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7"/>
                <w:szCs w:val="17"/>
                <w:color w:val="auto"/>
              </w:rPr>
            </w:pPr>
          </w:p>
        </w:tc>
        <w:tc>
          <w:tcPr>
            <w:tcW w:w="126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7"/>
                <w:szCs w:val="17"/>
                <w:color w:val="auto"/>
              </w:rPr>
            </w:pPr>
          </w:p>
        </w:tc>
        <w:tc>
          <w:tcPr>
            <w:tcW w:w="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52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American States Water Company Common Stock Fund:</w:t>
            </w: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25,066,421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25,066,421</w:t>
            </w: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PIMCO Money Market Fund</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795,679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795,679</w:t>
            </w:r>
          </w:p>
        </w:tc>
      </w:tr>
      <w:tr>
        <w:trPr>
          <w:trHeight w:val="270"/>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bottom w:val="single" w:sz="8" w:color="CCEEFF"/>
            </w:tcBorders>
          </w:tcPr>
          <w:p>
            <w:pPr>
              <w:spacing w:after="0"/>
              <w:rPr>
                <w:sz w:val="19"/>
                <w:szCs w:val="19"/>
                <w:color w:val="auto"/>
              </w:rPr>
            </w:pPr>
          </w:p>
        </w:tc>
        <w:tc>
          <w:tcPr>
            <w:tcW w:w="2520" w:type="dxa"/>
            <w:vAlign w:val="bottom"/>
            <w:tcBorders>
              <w:top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International Equity Fund</w:t>
            </w:r>
          </w:p>
        </w:tc>
        <w:tc>
          <w:tcPr>
            <w:tcW w:w="2680" w:type="dxa"/>
            <w:vAlign w:val="bottom"/>
            <w:tcBorders>
              <w:top w:val="single" w:sz="8" w:color="CCEEFF"/>
              <w:bottom w:val="single" w:sz="8" w:color="CCEEFF"/>
            </w:tcBorders>
            <w:gridSpan w:val="2"/>
          </w:tcPr>
          <w:p>
            <w:pPr>
              <w:spacing w:after="0"/>
              <w:rPr>
                <w:sz w:val="19"/>
                <w:szCs w:val="19"/>
                <w:color w:val="auto"/>
              </w:rPr>
            </w:pPr>
          </w:p>
        </w:tc>
        <w:tc>
          <w:tcPr>
            <w:tcW w:w="460" w:type="dxa"/>
            <w:vAlign w:val="bottom"/>
            <w:tcBorders>
              <w:top w:val="single" w:sz="8" w:color="CCEEFF"/>
              <w:bottom w:val="single" w:sz="8" w:color="auto"/>
            </w:tcBorders>
          </w:tcPr>
          <w:p>
            <w:pPr>
              <w:spacing w:after="0"/>
              <w:rPr>
                <w:sz w:val="19"/>
                <w:szCs w:val="19"/>
                <w:color w:val="auto"/>
              </w:rPr>
            </w:pPr>
          </w:p>
        </w:tc>
        <w:tc>
          <w:tcPr>
            <w:tcW w:w="102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4,057,835</w:t>
            </w:r>
          </w:p>
        </w:tc>
        <w:tc>
          <w:tcPr>
            <w:tcW w:w="100" w:type="dxa"/>
            <w:vAlign w:val="bottom"/>
            <w:tcBorders>
              <w:top w:val="single" w:sz="8" w:color="CCEEFF"/>
              <w:bottom w:val="single" w:sz="8" w:color="auto"/>
            </w:tcBorders>
          </w:tcPr>
          <w:p>
            <w:pPr>
              <w:spacing w:after="0"/>
              <w:rPr>
                <w:sz w:val="19"/>
                <w:szCs w:val="19"/>
                <w:color w:val="auto"/>
              </w:rPr>
            </w:pPr>
          </w:p>
        </w:tc>
        <w:tc>
          <w:tcPr>
            <w:tcW w:w="26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560" w:type="dxa"/>
            <w:vAlign w:val="bottom"/>
            <w:tcBorders>
              <w:top w:val="single" w:sz="8" w:color="CCEEFF"/>
              <w:bottom w:val="single" w:sz="8" w:color="auto"/>
            </w:tcBorders>
          </w:tcPr>
          <w:p>
            <w:pPr>
              <w:spacing w:after="0"/>
              <w:rPr>
                <w:sz w:val="19"/>
                <w:szCs w:val="19"/>
                <w:color w:val="auto"/>
              </w:rPr>
            </w:pPr>
          </w:p>
        </w:tc>
        <w:tc>
          <w:tcPr>
            <w:tcW w:w="540" w:type="dxa"/>
            <w:vAlign w:val="bottom"/>
            <w:tcBorders>
              <w:top w:val="single" w:sz="8" w:color="CCEEFF"/>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CCEEFF"/>
              <w:bottom w:val="single" w:sz="8" w:color="auto"/>
            </w:tcBorders>
          </w:tcPr>
          <w:p>
            <w:pPr>
              <w:spacing w:after="0"/>
              <w:rPr>
                <w:sz w:val="19"/>
                <w:szCs w:val="19"/>
                <w:color w:val="auto"/>
              </w:rPr>
            </w:pPr>
          </w:p>
        </w:tc>
        <w:tc>
          <w:tcPr>
            <w:tcW w:w="560" w:type="dxa"/>
            <w:vAlign w:val="bottom"/>
            <w:tcBorders>
              <w:top w:val="single" w:sz="8" w:color="CCEEFF"/>
              <w:bottom w:val="single" w:sz="8" w:color="auto"/>
            </w:tcBorders>
          </w:tcPr>
          <w:p>
            <w:pPr>
              <w:spacing w:after="0"/>
              <w:rPr>
                <w:sz w:val="19"/>
                <w:szCs w:val="19"/>
                <w:color w:val="auto"/>
              </w:rPr>
            </w:pPr>
          </w:p>
        </w:tc>
        <w:tc>
          <w:tcPr>
            <w:tcW w:w="60" w:type="dxa"/>
            <w:vAlign w:val="bottom"/>
            <w:tcBorders>
              <w:top w:val="single" w:sz="8" w:color="CCEEFF"/>
              <w:bottom w:val="single" w:sz="8" w:color="auto"/>
            </w:tcBorders>
          </w:tcPr>
          <w:p>
            <w:pPr>
              <w:spacing w:after="0"/>
              <w:rPr>
                <w:sz w:val="19"/>
                <w:szCs w:val="19"/>
                <w:color w:val="auto"/>
              </w:rPr>
            </w:pPr>
          </w:p>
        </w:tc>
        <w:tc>
          <w:tcPr>
            <w:tcW w:w="440" w:type="dxa"/>
            <w:vAlign w:val="bottom"/>
            <w:tcBorders>
              <w:top w:val="single" w:sz="8" w:color="CCEEFF"/>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bottom w:val="single" w:sz="8" w:color="auto"/>
            </w:tcBorders>
          </w:tcPr>
          <w:p>
            <w:pPr>
              <w:spacing w:after="0"/>
              <w:rPr>
                <w:sz w:val="19"/>
                <w:szCs w:val="19"/>
                <w:color w:val="auto"/>
              </w:rPr>
            </w:pPr>
          </w:p>
        </w:tc>
        <w:tc>
          <w:tcPr>
            <w:tcW w:w="1160" w:type="dxa"/>
            <w:vAlign w:val="bottom"/>
            <w:tcBorders>
              <w:top w:val="single" w:sz="8" w:color="CCEEFF"/>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4,057,835</w:t>
            </w:r>
          </w:p>
        </w:tc>
      </w:tr>
      <w:tr>
        <w:trPr>
          <w:trHeight w:val="250"/>
        </w:trPr>
        <w:tc>
          <w:tcPr>
            <w:tcW w:w="2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investments in fair value hierarchy</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29,919,935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29,919,935</w:t>
            </w:r>
          </w:p>
        </w:tc>
      </w:tr>
      <w:tr>
        <w:trPr>
          <w:trHeight w:val="250"/>
        </w:trPr>
        <w:tc>
          <w:tcPr>
            <w:tcW w:w="2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2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Total investments measured at net asset value </w:t>
            </w:r>
            <w:r>
              <w:rPr>
                <w:rFonts w:ascii="Times New Roman" w:cs="Times New Roman" w:eastAsia="Times New Roman" w:hAnsi="Times New Roman"/>
                <w:sz w:val="23"/>
                <w:szCs w:val="23"/>
                <w:b w:val="1"/>
                <w:bCs w:val="1"/>
                <w:color w:val="auto"/>
                <w:vertAlign w:val="superscript"/>
              </w:rPr>
              <w:t>(a)</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201,007,164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29,919,935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230,927,099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 as of</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30, 2024</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5"/>
                <w:szCs w:val="15"/>
                <w:color w:val="auto"/>
              </w:rPr>
            </w:pPr>
          </w:p>
        </w:tc>
        <w:tc>
          <w:tcPr>
            <w:tcW w:w="1260" w:type="dxa"/>
            <w:vAlign w:val="bottom"/>
            <w:gridSpan w:val="4"/>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5"/>
                <w:szCs w:val="15"/>
                <w:color w:val="auto"/>
              </w:rPr>
            </w:pPr>
          </w:p>
        </w:tc>
        <w:tc>
          <w:tcPr>
            <w:tcW w:w="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jc w:val="right"/>
              <w:ind w:right="5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American States Water Company Common Stock Fund:</w:t>
            </w:r>
          </w:p>
        </w:tc>
        <w:tc>
          <w:tcPr>
            <w:tcW w:w="1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27,486,703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27,486,703</w:t>
            </w: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PIMCO Money Market Fund</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1,137,942</w:t>
            </w:r>
          </w:p>
        </w:tc>
      </w:tr>
      <w:tr>
        <w:trPr>
          <w:trHeight w:val="270"/>
        </w:trPr>
        <w:tc>
          <w:tcPr>
            <w:tcW w:w="20" w:type="dxa"/>
            <w:vAlign w:val="bottom"/>
          </w:tcPr>
          <w:p>
            <w:pPr>
              <w:spacing w:after="0"/>
              <w:rPr>
                <w:sz w:val="23"/>
                <w:szCs w:val="23"/>
                <w:color w:val="auto"/>
              </w:rPr>
            </w:pPr>
          </w:p>
        </w:tc>
        <w:tc>
          <w:tcPr>
            <w:tcW w:w="5200" w:type="dxa"/>
            <w:vAlign w:val="bottom"/>
            <w:gridSpan w:val="3"/>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bottom w:val="single" w:sz="8" w:color="CCEEFF"/>
            </w:tcBorders>
          </w:tcPr>
          <w:p>
            <w:pPr>
              <w:spacing w:after="0"/>
              <w:rPr>
                <w:sz w:val="19"/>
                <w:szCs w:val="19"/>
                <w:color w:val="auto"/>
              </w:rPr>
            </w:pPr>
          </w:p>
        </w:tc>
        <w:tc>
          <w:tcPr>
            <w:tcW w:w="2520" w:type="dxa"/>
            <w:vAlign w:val="bottom"/>
            <w:tcBorders>
              <w:top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International Equity Funds</w:t>
            </w:r>
          </w:p>
        </w:tc>
        <w:tc>
          <w:tcPr>
            <w:tcW w:w="2680" w:type="dxa"/>
            <w:vAlign w:val="bottom"/>
            <w:tcBorders>
              <w:top w:val="single" w:sz="8" w:color="CCEEFF"/>
              <w:bottom w:val="single" w:sz="8" w:color="CCEEFF"/>
            </w:tcBorders>
            <w:gridSpan w:val="2"/>
          </w:tcPr>
          <w:p>
            <w:pPr>
              <w:spacing w:after="0"/>
              <w:rPr>
                <w:sz w:val="19"/>
                <w:szCs w:val="19"/>
                <w:color w:val="auto"/>
              </w:rPr>
            </w:pPr>
          </w:p>
        </w:tc>
        <w:tc>
          <w:tcPr>
            <w:tcW w:w="460" w:type="dxa"/>
            <w:vAlign w:val="bottom"/>
            <w:tcBorders>
              <w:top w:val="single" w:sz="8" w:color="CCEEFF"/>
              <w:bottom w:val="single" w:sz="8" w:color="auto"/>
            </w:tcBorders>
          </w:tcPr>
          <w:p>
            <w:pPr>
              <w:spacing w:after="0"/>
              <w:rPr>
                <w:sz w:val="19"/>
                <w:szCs w:val="19"/>
                <w:color w:val="auto"/>
              </w:rPr>
            </w:pPr>
          </w:p>
        </w:tc>
        <w:tc>
          <w:tcPr>
            <w:tcW w:w="102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2,948,424</w:t>
            </w:r>
          </w:p>
        </w:tc>
        <w:tc>
          <w:tcPr>
            <w:tcW w:w="100" w:type="dxa"/>
            <w:vAlign w:val="bottom"/>
            <w:tcBorders>
              <w:top w:val="single" w:sz="8" w:color="CCEEFF"/>
              <w:bottom w:val="single" w:sz="8" w:color="auto"/>
            </w:tcBorders>
          </w:tcPr>
          <w:p>
            <w:pPr>
              <w:spacing w:after="0"/>
              <w:rPr>
                <w:sz w:val="19"/>
                <w:szCs w:val="19"/>
                <w:color w:val="auto"/>
              </w:rPr>
            </w:pPr>
          </w:p>
        </w:tc>
        <w:tc>
          <w:tcPr>
            <w:tcW w:w="26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560" w:type="dxa"/>
            <w:vAlign w:val="bottom"/>
            <w:tcBorders>
              <w:top w:val="single" w:sz="8" w:color="CCEEFF"/>
              <w:bottom w:val="single" w:sz="8" w:color="auto"/>
            </w:tcBorders>
          </w:tcPr>
          <w:p>
            <w:pPr>
              <w:spacing w:after="0"/>
              <w:rPr>
                <w:sz w:val="19"/>
                <w:szCs w:val="19"/>
                <w:color w:val="auto"/>
              </w:rPr>
            </w:pPr>
          </w:p>
        </w:tc>
        <w:tc>
          <w:tcPr>
            <w:tcW w:w="540" w:type="dxa"/>
            <w:vAlign w:val="bottom"/>
            <w:tcBorders>
              <w:top w:val="single" w:sz="8" w:color="CCEEFF"/>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bottom w:val="single" w:sz="8" w:color="auto"/>
            </w:tcBorders>
          </w:tcPr>
          <w:p>
            <w:pPr>
              <w:spacing w:after="0"/>
              <w:rPr>
                <w:sz w:val="19"/>
                <w:szCs w:val="19"/>
                <w:color w:val="auto"/>
              </w:rPr>
            </w:pPr>
          </w:p>
        </w:tc>
        <w:tc>
          <w:tcPr>
            <w:tcW w:w="560" w:type="dxa"/>
            <w:vAlign w:val="bottom"/>
            <w:tcBorders>
              <w:top w:val="single" w:sz="8" w:color="CCEEFF"/>
              <w:bottom w:val="single" w:sz="8" w:color="auto"/>
            </w:tcBorders>
          </w:tcPr>
          <w:p>
            <w:pPr>
              <w:spacing w:after="0"/>
              <w:rPr>
                <w:sz w:val="19"/>
                <w:szCs w:val="19"/>
                <w:color w:val="auto"/>
              </w:rPr>
            </w:pPr>
          </w:p>
        </w:tc>
        <w:tc>
          <w:tcPr>
            <w:tcW w:w="60" w:type="dxa"/>
            <w:vAlign w:val="bottom"/>
            <w:tcBorders>
              <w:top w:val="single" w:sz="8" w:color="CCEEFF"/>
              <w:bottom w:val="single" w:sz="8" w:color="auto"/>
            </w:tcBorders>
          </w:tcPr>
          <w:p>
            <w:pPr>
              <w:spacing w:after="0"/>
              <w:rPr>
                <w:sz w:val="19"/>
                <w:szCs w:val="19"/>
                <w:color w:val="auto"/>
              </w:rPr>
            </w:pPr>
          </w:p>
        </w:tc>
        <w:tc>
          <w:tcPr>
            <w:tcW w:w="440" w:type="dxa"/>
            <w:vAlign w:val="bottom"/>
            <w:tcBorders>
              <w:top w:val="single" w:sz="8" w:color="CCEEFF"/>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auto"/>
            </w:tcBorders>
          </w:tcPr>
          <w:p>
            <w:pPr>
              <w:spacing w:after="0"/>
              <w:rPr>
                <w:sz w:val="19"/>
                <w:szCs w:val="19"/>
                <w:color w:val="auto"/>
              </w:rPr>
            </w:pPr>
          </w:p>
        </w:tc>
        <w:tc>
          <w:tcPr>
            <w:tcW w:w="1160" w:type="dxa"/>
            <w:vAlign w:val="bottom"/>
            <w:tcBorders>
              <w:top w:val="single" w:sz="8" w:color="CCEEFF"/>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2,948,424</w:t>
            </w:r>
          </w:p>
        </w:tc>
      </w:tr>
      <w:tr>
        <w:trPr>
          <w:trHeight w:val="250"/>
        </w:trPr>
        <w:tc>
          <w:tcPr>
            <w:tcW w:w="2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investments in fair value hierarchy</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31,573,069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31,573,069</w:t>
            </w:r>
          </w:p>
        </w:tc>
      </w:tr>
      <w:tr>
        <w:trPr>
          <w:trHeight w:val="250"/>
        </w:trPr>
        <w:tc>
          <w:tcPr>
            <w:tcW w:w="2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Total investments measured at net asset value </w:t>
            </w:r>
            <w:r>
              <w:rPr>
                <w:rFonts w:ascii="Times New Roman" w:cs="Times New Roman" w:eastAsia="Times New Roman" w:hAnsi="Times New Roman"/>
                <w:sz w:val="23"/>
                <w:szCs w:val="23"/>
                <w:b w:val="1"/>
                <w:bCs w:val="1"/>
                <w:color w:val="auto"/>
                <w:vertAlign w:val="superscript"/>
              </w:rPr>
              <w:t>(a)</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174,912,791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206,485,860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260" w:hanging="252"/>
        <w:spacing w:after="0" w:line="281" w:lineRule="auto"/>
        <w:tabs>
          <w:tab w:leader="none" w:pos="251"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the accounting guidance on fair value measurement, certain investments that were measured at net asset value per share (or its equivalent practical expedient) have not been classified in the fair value hierarchy. The fair value amounts presented in this table are intended to permit reconciliation of the fair value hierarchy to the line item Investments at fair value, in the Statement of Net Assets Available for Plan Benefits.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categorization of debt and equity securities is classified based on the nature and risk of the investment. The Plan’s investments that are measured at fair value on a recurring basis, such as the American States Water Company Common Stock Fund, which includes the money market fund and common stock, and the mutual funds included within the Registered Investment Companies are generally classified within Level 1 of the fair value hierarchy. The fair values of these investments are based on quoted market prices in active markets. The common collective trusts are measured at NAV of the units held. The NAV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investments for which fair value is measured using NAV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Investments measured using NAV</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 Fair Value</w:t>
            </w:r>
          </w:p>
        </w:tc>
        <w:tc>
          <w:tcPr>
            <w:tcW w:w="10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Commitment</w:t>
            </w:r>
          </w:p>
        </w:tc>
        <w:tc>
          <w:tcPr>
            <w:tcW w:w="14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Frequency</w:t>
            </w: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Notice 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Prudential Core Plus Bond Fund Trust Class 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4,742,757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Partners Large Cap Value Equity Collective Trust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7,638,361</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Stable Value Trust Class B1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11,587,070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U.S. Small Cap Value Equity Tier 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735,654</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Diversified Real Asset Tier 3</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865,326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Small Mid Cap Growth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3,412,146</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Russell Small/Mid Cap Index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13,918,043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U.S. Bond Index NL Series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3,532,005</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S&amp;P 500 Index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30,138,218</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Global All Cap Equity Ex U.S. Index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5,010,090</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Winslow Large Cap Growth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23,163,203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US Government Market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318,164</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2005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2010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2015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686,163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2020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3,347,932</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2025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13,740,537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2030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14,379,244</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2035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15,490,167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2040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12,075,304</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2045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10,712,930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2050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12,663,643</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2055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7,181,973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2060 Fund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3,813,426</w:t>
            </w:r>
          </w:p>
        </w:tc>
        <w:tc>
          <w:tcPr>
            <w:tcW w:w="100" w:type="dxa"/>
            <w:vAlign w:val="bottom"/>
          </w:tcPr>
          <w:p>
            <w:pPr>
              <w:spacing w:after="0"/>
              <w:rPr>
                <w:sz w:val="19"/>
                <w:szCs w:val="19"/>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2065 Fund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1,599,999</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2070 Fund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Daily</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 day</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measured using NAV</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201,007,164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Unfunded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Redemption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r>
      <w:tr>
        <w:trPr>
          <w:trHeight w:val="203"/>
        </w:trPr>
        <w:tc>
          <w:tcPr>
            <w:tcW w:w="20" w:type="dxa"/>
            <w:vAlign w:val="bottom"/>
          </w:tcPr>
          <w:p>
            <w:pPr>
              <w:spacing w:after="0"/>
              <w:rPr>
                <w:sz w:val="17"/>
                <w:szCs w:val="17"/>
                <w:color w:val="auto"/>
              </w:rPr>
            </w:pPr>
          </w:p>
        </w:tc>
        <w:tc>
          <w:tcPr>
            <w:tcW w:w="55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Investments measured using NAV</w:t>
            </w:r>
          </w:p>
        </w:tc>
        <w:tc>
          <w:tcPr>
            <w:tcW w:w="10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97"/>
              </w:rPr>
              <w:t>2024 Fair Value</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8"/>
              </w:rPr>
              <w:t>Commitment</w:t>
            </w:r>
          </w:p>
        </w:tc>
        <w:tc>
          <w:tcPr>
            <w:tcW w:w="13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Frequency</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Notice Period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Prudential Core Plus Bond Fund Trust Class 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4,841,499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Partners Large Cap Value Equity Collective Trust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6,637,986</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Stable Value Trust Class B1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11,421,301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LSV U.S. Small Cap Value Equity Tier 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1,014,352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Diversified Real Asset Collective Investment Trust Tier 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1,209,135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Small Mid Cap Growth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4,190,657</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Russell Small/Mid Cap Index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12,451,733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U.S. Bond Index NL Series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4,125,426</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Street S&amp;P 500 Index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25,334,160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Street Global All Cap Equity Ex U.S. Index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3,640,128</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Winslow Large Cap Growth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20,457,972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2005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2010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2015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639,719</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2020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2,897,676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2025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13,519,160</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2030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11,424,988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2035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13,033,053</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2040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9,882,530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2045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8,892,982</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2050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9,437,762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2055 Fund</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5,809,708</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 Rowe Price Retirement 2060 Fund</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3,079,375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30"/>
        </w:trPr>
        <w:tc>
          <w:tcPr>
            <w:tcW w:w="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 Rowe Price Retirement 2065 Fund</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924,973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Daily</w:t>
            </w:r>
          </w:p>
        </w:tc>
        <w:tc>
          <w:tcPr>
            <w:tcW w:w="1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 day</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 measured using NAV</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174,912,791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plan liabilities recorded at fair value at December 30, 2025 or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and Party-In-Interest Transactions</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Trustee and the Company are parties-in-interest as defined by ERISA. Certain Plan investments are shares of ASWC Common Stock Fund. Such transactions qualify as party-in-interest transactions permitted by the Department of Labor regulations. Total purchases at market value related to the common stock fund of ASWC for 2025 and 2024 were $5,363,067 and $5,729,072, respectively. Total sales at market value related to the common stock fund of ASWC for 2025 and 2024 were $7,218,504 and $7,173,837, respectively. Total dividends received related to the common stock fund of ASWC for 2025 and 2024 were $721,271 and $688,515, respectively. Notes receivable from participants also qualify as party-in-interest transactions under ERISA. Fees paid to the Trustee for the Plan year ended December 30, 2025 and 2024 were insignificant.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 Status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IRS issued a favorable determination letter dated March 4, 2016 stating that the Plan and its related trust are designed in accordance with applicable IRC requirements as of that date. The determination letter covered amendments through February 18, 2014. Although the Plan has since been amended, the Plan Administrator believes that the Plan continues to be designed and operated in compliance with the IRC. Consequently, the Plan Administrator believes that the Plan has remained qualified, its related trust has therefore been tax-exempt, including as of December 30, 2025 and 2024, and for the Plan year ended December 30, 2025. Accordingly, no provision for income taxes has been included in the Plan’s financial statements. The Plan is subject to routine audits by the IRS; however, there are currently no audits in progress.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uncertain income tax positions taken, or planned to be taken, by the Plan, and for the Plan’s trust to recognize a tax liability (or asset) if such a position is not “more likely than not” to be sustained upon examination by the IRS that would result in disqualification of the Plan. Because of the Plan Administrator’s belief that the Plan is, and will remain, qualified, including based on all tax positions it has taken, it has concluded that, as of December 30, 2025, there are no tax liabilities (or assets) for which recognition or disclosure is required in the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Plan Termination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document to discontinue its contributions at any time and to amend or terminate the Plan subject to the provisions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Investment Incentive Program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5500 - Schedule H - Line 4i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 as of December 30,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EIN: 95-1243678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Plan Number: 005</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6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(c) Description of investment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(a)(b) Identity of issuer, borrower,</w:t>
            </w:r>
          </w:p>
        </w:tc>
        <w:tc>
          <w:tcPr>
            <w:tcW w:w="456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including maturity dates, rate of</w:t>
            </w:r>
          </w:p>
        </w:tc>
        <w:tc>
          <w:tcPr>
            <w:tcW w:w="150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(d)</w:t>
            </w: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(e) Current</w:t>
            </w:r>
          </w:p>
        </w:tc>
      </w:tr>
      <w:tr>
        <w:trPr>
          <w:trHeight w:val="219"/>
        </w:trPr>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456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interest, par or maturity value</w:t>
            </w: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72"/>
        </w:trPr>
        <w:tc>
          <w:tcPr>
            <w:tcW w:w="372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45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American States Water Company</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American States Water Company Stock Fund:</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PIMCO Money Market Fund</w:t>
            </w:r>
          </w:p>
        </w:tc>
        <w:tc>
          <w:tcPr>
            <w:tcW w:w="15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795,679</w:t>
            </w:r>
          </w:p>
        </w:tc>
      </w:tr>
      <w:tr>
        <w:trPr>
          <w:trHeight w:val="213"/>
        </w:trPr>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American States Water Company Common Stock</w:t>
            </w:r>
          </w:p>
        </w:tc>
        <w:tc>
          <w:tcPr>
            <w:tcW w:w="12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25,066,421</w:t>
            </w:r>
          </w:p>
        </w:tc>
      </w:tr>
      <w:tr>
        <w:trPr>
          <w:trHeight w:val="210"/>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25,862,100</w:t>
            </w:r>
          </w:p>
        </w:tc>
      </w:tr>
      <w:tr>
        <w:trPr>
          <w:trHeight w:val="77"/>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176"/>
        </w:trPr>
        <w:tc>
          <w:tcPr>
            <w:tcW w:w="3720" w:type="dxa"/>
            <w:vAlign w:val="bottom"/>
            <w:gridSpan w:val="5"/>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Registered Investment Companies:</w:t>
            </w:r>
          </w:p>
        </w:tc>
        <w:tc>
          <w:tcPr>
            <w:tcW w:w="4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37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color w:val="auto"/>
              </w:rPr>
              <w:t>Dodge &amp; Cox</w:t>
            </w:r>
          </w:p>
        </w:tc>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Dodge &amp; Cox International Stock Fund</w:t>
            </w:r>
          </w:p>
        </w:tc>
        <w:tc>
          <w:tcPr>
            <w:tcW w:w="12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4,057,835</w:t>
            </w:r>
          </w:p>
        </w:tc>
      </w:tr>
      <w:tr>
        <w:trPr>
          <w:trHeight w:val="77"/>
        </w:trPr>
        <w:tc>
          <w:tcPr>
            <w:tcW w:w="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5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5"/>
        </w:trPr>
        <w:tc>
          <w:tcPr>
            <w:tcW w:w="3720" w:type="dxa"/>
            <w:vAlign w:val="bottom"/>
            <w:gridSpan w:val="5"/>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Common/Collective Trust Funds:</w:t>
            </w:r>
          </w:p>
        </w:tc>
        <w:tc>
          <w:tcPr>
            <w:tcW w:w="45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Prudential</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Prudential Core Plus Bond Fund Trust Class 5</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4,742,757</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Boston Partners</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Boston Partners Large Cap Value Equity CTF</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7,638,361</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Invesco</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Invesco Stable Value Trust Class B1</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11,587,070</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LSV</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LSV U.S. Small Cap Value Equity Tier 7</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735,654</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Diversified Real Asset Tier 3</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865,326</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William Blair</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William Blair Small Mid Cap Growth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3,412,146</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State Street</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Street Russell Small/Mid Cap Index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13,918,043</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Street</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Street U.S. Bond Index NL Series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3,532,005</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State Street</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Street S&amp;P 500 Index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30,138,218</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Street</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Street Global All Cap Equity Ex U.S. Index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5,010,090</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Winslow</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Winslow Large Cap Growth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23,163,203</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J.P. Morgan</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Government Market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318,164</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2005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133,121</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2010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24,653</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2015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686,163</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2020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3,347,932</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2025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13,740,537</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2030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14,379,244</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2035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15,490,167</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2040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12,075,304</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2045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10,712,930</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2050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12,663,643</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2055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7,181,973</w:t>
            </w:r>
          </w:p>
        </w:tc>
      </w:tr>
      <w:tr>
        <w:trPr>
          <w:trHeight w:val="219"/>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2060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3,813,426</w:t>
            </w:r>
          </w:p>
        </w:tc>
      </w:tr>
      <w:tr>
        <w:trPr>
          <w:trHeight w:val="213"/>
        </w:trPr>
        <w:tc>
          <w:tcPr>
            <w:tcW w:w="3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Retirement 2065 Fund</w:t>
            </w:r>
          </w:p>
        </w:tc>
        <w:tc>
          <w:tcPr>
            <w:tcW w:w="12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1,599,999</w:t>
            </w:r>
          </w:p>
        </w:tc>
      </w:tr>
      <w:tr>
        <w:trPr>
          <w:trHeight w:val="216"/>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 Rowe Price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Retirement 2070 Fund</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97,035</w:t>
            </w: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201,007,164</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4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230,927,099</w:t>
            </w: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37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*Notes receivable from participants, net of reserve</w:t>
            </w:r>
          </w:p>
        </w:tc>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Notes with maturities through 2035, interest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rates ranging from 4.25% to 9.50%</w:t>
            </w:r>
          </w:p>
        </w:tc>
        <w:tc>
          <w:tcPr>
            <w:tcW w:w="122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3,257,645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234,184,744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913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 as defined by ERISA.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cost is only required for non-participant directed investments.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Investment Incentive Program Administrative Committee have duly caused this annual report to be signed on its behalf by the undersigned hereunto duly authorized.</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GOLDEN STATE WATER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INVESTMENT INCENTIVE PROGRAM</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J. SPROWLS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J. Sprowls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 Investment Incentive Program Administrative Committee</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EVA G.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497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Eva G. Tang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 Investment Incentive Program Administrative Committee</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J. 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497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J. Rowley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 Investment Incentive Program Administrative Committee</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GLADYS M.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497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Gladys M. Farrow</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 Investment Incentive Program Administrative Committee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9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Dimas, California</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(File No. 333-129873) of American States Water Company of our report dated June 26, 2026, relating to the financial statements and supplemental schedule of the Golden State Water Company Investment Incentive Program which appear in this Form 11-K for the year ended December 30, 2025.</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2026-06-26T16:54:17Z</dcterms:created>
  <dcterms:modified xsi:type="dcterms:W3CDTF">2026-06-26T16:54:17Z</dcterms:modified>
</cp:coreProperties>
</file>