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9180" w:type="dxa"/>
        <w:jc w:val="left"/>
        <w:tblInd w:w="0" w:type="dxa"/>
        <w:tblLayout w:type="fixed"/>
        <w:tblCellMar>
          <w:top w:w="28" w:type="dxa"/>
          <w:left w:w="28" w:type="dxa"/>
          <w:bottom w:w="28" w:type="dxa"/>
          <w:right w:w="28" w:type="dxa"/>
        </w:tblCellMar>
      </w:tblPr>
      <w:tblGrid>
        <w:gridCol w:w="2941"/>
        <w:gridCol w:w="2585"/>
        <w:gridCol w:w="3654"/>
      </w:tblGrid>
      <w:tr>
        <w:trPr/>
        <w:tc>
          <w:tcPr>
            <w:tcW w:w="2941"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9180"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As filed with the Securities and Exchange Commission on July 17, 2026</w:t>
            </w:r>
          </w:p>
          <w:p>
            <w:pPr>
              <w:pStyle w:val="TableContents"/>
              <w:bidi w:val="0"/>
              <w:spacing w:lineRule="auto" w:line="288" w:before="0" w:after="0"/>
              <w:ind w:left="0" w:right="0" w:firstLine="720"/>
              <w:jc w:val="right"/>
              <w:rPr>
                <w:color w:val="000000"/>
              </w:rPr>
            </w:pPr>
            <w:r>
              <w:rPr>
                <w:color w:val="000000"/>
              </w:rPr>
              <w:t>                                                                                                        </w:t>
            </w:r>
            <w:r>
              <w:rPr>
                <w:rFonts w:ascii="Times New Roman;serif" w:hAnsi="Times New Roman;serif"/>
                <w:b w:val="false"/>
                <w:color w:val="000000"/>
                <w:sz w:val="24"/>
              </w:rPr>
              <w:t>Registration No. 333-</w:t>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S-8</w:t>
      </w:r>
    </w:p>
    <w:p>
      <w:pPr>
        <w:pStyle w:val="TextBody"/>
        <w:bidi w:val="0"/>
        <w:spacing w:lineRule="auto" w:line="288" w:before="0" w:after="0"/>
        <w:jc w:val="center"/>
        <w:rPr/>
      </w:pPr>
      <w:r>
        <w:rPr>
          <w:color w:val="000000"/>
        </w:rPr>
        <w:t> </w:t>
      </w:r>
      <w:r>
        <w:rPr>
          <w:rFonts w:ascii="Times New Roman;serif" w:hAnsi="Times New Roman;serif"/>
          <w:b/>
          <w:color w:val="000000"/>
          <w:sz w:val="24"/>
        </w:rPr>
        <w:t>REGISTRATION STATEMENT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UNDER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THE SECURITIES ACT OF 1933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AMERICAN STATES WATER COMPANY</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p>
      <w:pPr>
        <w:pStyle w:val="TextBody"/>
        <w:bidi w:val="0"/>
        <w:spacing w:lineRule="auto" w:line="288" w:before="0" w:after="0"/>
        <w:jc w:val="center"/>
        <w:rPr>
          <w:color w:val="000000"/>
        </w:rPr>
      </w:pPr>
      <w:r>
        <w:rPr>
          <w:color w:val="000000"/>
        </w:rPr>
        <w:t> </w:t>
      </w:r>
    </w:p>
    <w:tbl>
      <w:tblPr>
        <w:tblW w:w="5141" w:type="dxa"/>
        <w:jc w:val="left"/>
        <w:tblInd w:w="0" w:type="dxa"/>
        <w:tblLayout w:type="fixed"/>
        <w:tblCellMar>
          <w:top w:w="28" w:type="dxa"/>
          <w:left w:w="28" w:type="dxa"/>
          <w:bottom w:w="28" w:type="dxa"/>
          <w:right w:w="28" w:type="dxa"/>
        </w:tblCellMar>
      </w:tblPr>
      <w:tblGrid>
        <w:gridCol w:w="1064"/>
        <w:gridCol w:w="934"/>
        <w:gridCol w:w="941"/>
        <w:gridCol w:w="109"/>
        <w:gridCol w:w="109"/>
        <w:gridCol w:w="109"/>
        <w:gridCol w:w="548"/>
        <w:gridCol w:w="548"/>
        <w:gridCol w:w="779"/>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95-4676679</w:t>
            </w:r>
          </w:p>
        </w:tc>
      </w:tr>
      <w:tr>
        <w:trPr/>
        <w:tc>
          <w:tcPr>
            <w:tcW w:w="293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2"/>
              </w:rPr>
            </w:pPr>
            <w:r>
              <w:rPr>
                <w:rFonts w:ascii="Times New Roman;serif" w:hAnsi="Times New Roman;serif"/>
                <w:b w:val="false"/>
                <w:color w:val="000000"/>
                <w:sz w:val="22"/>
              </w:rPr>
              <w:t>(I.R.S. Employer</w:t>
              <w:br/>
              <w:t>Identification No.)</w:t>
            </w:r>
          </w:p>
        </w:tc>
      </w:tr>
    </w:tbl>
    <w:tbl>
      <w:tblPr>
        <w:tblW w:w="5530" w:type="dxa"/>
        <w:jc w:val="left"/>
        <w:tblInd w:w="0" w:type="dxa"/>
        <w:tblLayout w:type="fixed"/>
        <w:tblCellMar>
          <w:top w:w="28" w:type="dxa"/>
          <w:left w:w="28" w:type="dxa"/>
          <w:bottom w:w="28" w:type="dxa"/>
          <w:right w:w="28" w:type="dxa"/>
        </w:tblCellMar>
      </w:tblPr>
      <w:tblGrid>
        <w:gridCol w:w="1411"/>
        <w:gridCol w:w="1240"/>
        <w:gridCol w:w="1248"/>
        <w:gridCol w:w="109"/>
        <w:gridCol w:w="109"/>
        <w:gridCol w:w="109"/>
        <w:gridCol w:w="382"/>
        <w:gridCol w:w="382"/>
        <w:gridCol w:w="540"/>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630 East Foothill Blvd.</w:t>
              <w:br/>
              <w:t>San Dimas,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91773-1212</w:t>
            </w:r>
          </w:p>
        </w:tc>
      </w:tr>
      <w:tr>
        <w:trPr/>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American States Water Company</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2026 Stock Incentive Plan</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(Full title of the plan)</w:t>
      </w:r>
    </w:p>
    <w:p>
      <w:pPr>
        <w:pStyle w:val="TextBody"/>
        <w:bidi w:val="0"/>
        <w:spacing w:lineRule="auto" w:line="288" w:before="0" w:after="0"/>
        <w:jc w:val="center"/>
        <w:rPr>
          <w:color w:val="000000"/>
        </w:rPr>
      </w:pPr>
      <w:r>
        <w:rPr>
          <w:color w:val="000000"/>
        </w:rPr>
        <w:t> </w:t>
      </w:r>
    </w:p>
    <w:tbl>
      <w:tblPr>
        <w:tblW w:w="9131" w:type="dxa"/>
        <w:jc w:val="left"/>
        <w:tblInd w:w="0" w:type="dxa"/>
        <w:tblLayout w:type="fixed"/>
        <w:tblCellMar>
          <w:top w:w="28" w:type="dxa"/>
          <w:left w:w="28" w:type="dxa"/>
          <w:bottom w:w="28" w:type="dxa"/>
          <w:right w:w="28" w:type="dxa"/>
        </w:tblCellMar>
      </w:tblPr>
      <w:tblGrid>
        <w:gridCol w:w="2149"/>
        <w:gridCol w:w="1889"/>
        <w:gridCol w:w="1902"/>
        <w:gridCol w:w="109"/>
        <w:gridCol w:w="109"/>
        <w:gridCol w:w="109"/>
        <w:gridCol w:w="837"/>
        <w:gridCol w:w="837"/>
        <w:gridCol w:w="1190"/>
      </w:tblGrid>
      <w:tr>
        <w:trPr/>
        <w:tc>
          <w:tcPr>
            <w:tcW w:w="214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300" w:before="0" w:after="2"/>
              <w:jc w:val="center"/>
              <w:rPr/>
            </w:pPr>
            <w:r>
              <w:rPr>
                <w:rFonts w:ascii="Times New Roman;serif" w:hAnsi="Times New Roman;serif"/>
                <w:b/>
                <w:color w:val="000000"/>
                <w:sz w:val="22"/>
              </w:rPr>
              <w:t>Robert J. Sprowls</w:t>
              <w:br/>
              <w:t>President and Chief Executive Officer</w:t>
              <w:br/>
              <w:t>American States Water Company</w:t>
              <w:br/>
              <w:t>630 East Foothill Blvd.</w:t>
              <w:br/>
              <w:t>San Dimas, California 91773</w:t>
              <w:br/>
            </w:r>
            <w:r>
              <w:rPr>
                <w:rFonts w:ascii="Times New Roman;serif" w:hAnsi="Times New Roman;serif"/>
                <w:b w:val="false"/>
                <w:color w:val="000000"/>
                <w:sz w:val="22"/>
              </w:rPr>
              <w:t>(Name and address of agent for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with a copy to:</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Justin S. Reinus</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Paul Hastings LLP</w:t>
              <w:br/>
              <w:t>1920 Main Street, Suite 400</w:t>
              <w:br/>
              <w:t>Irvine, CA 92614</w:t>
              <w:br/>
              <w:t>(714) 668-6200</w:t>
            </w:r>
          </w:p>
        </w:tc>
      </w:tr>
      <w:tr>
        <w:trPr/>
        <w:tc>
          <w:tcPr>
            <w:tcW w:w="59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2"/>
              </w:rPr>
            </w:pPr>
            <w:r>
              <w:rPr>
                <w:rFonts w:ascii="Times New Roman;serif" w:hAnsi="Times New Roman;serif"/>
                <w:b/>
                <w:color w:val="000000"/>
                <w:sz w:val="22"/>
              </w:rPr>
              <w:t>(909) 394-3600</w:t>
            </w:r>
          </w:p>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(Telephone number, including area code, of agent for 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205" w:type="dxa"/>
        <w:jc w:val="left"/>
        <w:tblInd w:w="0" w:type="dxa"/>
        <w:tblLayout w:type="fixed"/>
        <w:tblCellMar>
          <w:top w:w="28" w:type="dxa"/>
          <w:left w:w="28" w:type="dxa"/>
          <w:bottom w:w="28" w:type="dxa"/>
          <w:right w:w="28" w:type="dxa"/>
        </w:tblCellMar>
      </w:tblPr>
      <w:tblGrid>
        <w:gridCol w:w="426"/>
        <w:gridCol w:w="374"/>
        <w:gridCol w:w="375"/>
        <w:gridCol w:w="109"/>
        <w:gridCol w:w="109"/>
        <w:gridCol w:w="109"/>
        <w:gridCol w:w="109"/>
        <w:gridCol w:w="109"/>
        <w:gridCol w:w="109"/>
        <w:gridCol w:w="109"/>
        <w:gridCol w:w="109"/>
        <w:gridCol w:w="109"/>
        <w:gridCol w:w="175"/>
        <w:gridCol w:w="175"/>
        <w:gridCol w:w="175"/>
        <w:gridCol w:w="175"/>
        <w:gridCol w:w="175"/>
        <w:gridCol w:w="179"/>
        <w:gridCol w:w="109"/>
        <w:gridCol w:w="109"/>
        <w:gridCol w:w="109"/>
        <w:gridCol w:w="109"/>
        <w:gridCol w:w="109"/>
        <w:gridCol w:w="109"/>
        <w:gridCol w:w="109"/>
        <w:gridCol w:w="109"/>
        <w:gridCol w:w="109"/>
        <w:gridCol w:w="109"/>
        <w:gridCol w:w="109"/>
        <w:gridCol w:w="109"/>
        <w:gridCol w:w="450"/>
        <w:gridCol w:w="450"/>
        <w:gridCol w:w="452"/>
        <w:gridCol w:w="109"/>
        <w:gridCol w:w="109"/>
        <w:gridCol w:w="109"/>
        <w:gridCol w:w="109"/>
        <w:gridCol w:w="109"/>
        <w:gridCol w:w="109"/>
        <w:gridCol w:w="153"/>
        <w:gridCol w:w="153"/>
        <w:gridCol w:w="153"/>
        <w:gridCol w:w="153"/>
        <w:gridCol w:w="153"/>
        <w:gridCol w:w="153"/>
        <w:gridCol w:w="153"/>
        <w:gridCol w:w="153"/>
        <w:gridCol w:w="153"/>
        <w:gridCol w:w="109"/>
        <w:gridCol w:w="109"/>
        <w:gridCol w:w="109"/>
        <w:gridCol w:w="109"/>
        <w:gridCol w:w="109"/>
        <w:gridCol w:w="109"/>
        <w:gridCol w:w="210"/>
        <w:gridCol w:w="210"/>
        <w:gridCol w:w="210"/>
        <w:gridCol w:w="210"/>
        <w:gridCol w:w="210"/>
        <w:gridCol w:w="216"/>
        <w:gridCol w:w="109"/>
        <w:gridCol w:w="109"/>
        <w:gridCol w:w="166"/>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5" w:type="dxa"/>
            <w:gridSpan w:val="3"/>
            <w:tcBorders/>
            <w:tcMar>
              <w:top w:w="0" w:type="dxa"/>
              <w:left w:w="0" w:type="dxa"/>
              <w:bottom w:w="0" w:type="dxa"/>
              <w:right w:w="0" w:type="dxa"/>
            </w:tcMar>
            <w:vAlign w:val="center"/>
          </w:tcPr>
          <w:p>
            <w:pPr>
              <w:pStyle w:val="TableContents"/>
              <w:bidi w:val="0"/>
              <w:spacing w:lineRule="auto" w:line="300" w:before="53" w:after="3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54" w:type="dxa"/>
            <w:gridSpan w:val="6"/>
            <w:tcBorders/>
            <w:tcMar>
              <w:top w:w="0" w:type="dxa"/>
              <w:left w:w="0" w:type="dxa"/>
              <w:bottom w:w="0" w:type="dxa"/>
              <w:right w:w="0" w:type="dxa"/>
            </w:tcMar>
            <w:vAlign w:val="center"/>
          </w:tcPr>
          <w:p>
            <w:pPr>
              <w:pStyle w:val="TableContents"/>
              <w:bidi w:val="0"/>
              <w:spacing w:lineRule="auto" w:line="300"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160"/>
              <w:jc w:val="left"/>
              <w:rPr/>
            </w:pPr>
            <w:r>
              <w:rPr/>
            </w:r>
          </w:p>
        </w:tc>
        <w:tc>
          <w:tcPr>
            <w:tcW w:w="1352" w:type="dxa"/>
            <w:gridSpan w:val="3"/>
            <w:tcBorders/>
            <w:tcMar>
              <w:top w:w="0" w:type="dxa"/>
              <w:left w:w="0" w:type="dxa"/>
              <w:bottom w:w="0" w:type="dxa"/>
              <w:right w:w="0" w:type="dxa"/>
            </w:tcMar>
            <w:vAlign w:val="center"/>
          </w:tcPr>
          <w:p>
            <w:pPr>
              <w:pStyle w:val="TableContents"/>
              <w:bidi w:val="0"/>
              <w:spacing w:lineRule="auto" w:line="300" w:before="53" w:after="3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377" w:type="dxa"/>
            <w:gridSpan w:val="9"/>
            <w:tcBorders/>
            <w:tcMar>
              <w:top w:w="0" w:type="dxa"/>
              <w:left w:w="0" w:type="dxa"/>
              <w:bottom w:w="0" w:type="dxa"/>
              <w:right w:w="0" w:type="dxa"/>
            </w:tcMar>
            <w:vAlign w:val="center"/>
          </w:tcPr>
          <w:p>
            <w:pPr>
              <w:pStyle w:val="TableContents"/>
              <w:bidi w:val="0"/>
              <w:spacing w:lineRule="auto" w:line="300"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300" w:before="53" w:after="3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266" w:type="dxa"/>
            <w:gridSpan w:val="6"/>
            <w:tcBorders/>
            <w:tcMar>
              <w:top w:w="0" w:type="dxa"/>
              <w:left w:w="0" w:type="dxa"/>
              <w:bottom w:w="0" w:type="dxa"/>
              <w:right w:w="0" w:type="dxa"/>
            </w:tcMar>
            <w:vAlign w:val="center"/>
          </w:tcPr>
          <w:p>
            <w:pPr>
              <w:pStyle w:val="TableContents"/>
              <w:bidi w:val="0"/>
              <w:spacing w:lineRule="auto" w:line="300" w:before="53" w:after="30"/>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84" w:type="dxa"/>
            <w:gridSpan w:val="3"/>
            <w:tcBorders/>
            <w:tcMar>
              <w:top w:w="0" w:type="dxa"/>
              <w:left w:w="0" w:type="dxa"/>
              <w:bottom w:w="0" w:type="dxa"/>
              <w:right w:w="0" w:type="dxa"/>
            </w:tcMar>
            <w:vAlign w:val="center"/>
          </w:tcPr>
          <w:p>
            <w:pPr>
              <w:pStyle w:val="TableContents"/>
              <w:bidi w:val="0"/>
              <w:spacing w:lineRule="auto" w:line="300" w:before="53" w:after="30"/>
              <w:jc w:val="left"/>
              <w:rPr>
                <w:color w:val="000000"/>
              </w:rPr>
            </w:pPr>
            <w:r>
              <w:rPr>
                <w:color w:val="000000"/>
              </w:rPr>
              <w:t>☐</w:t>
            </w:r>
          </w:p>
        </w:tc>
      </w:tr>
      <w:tr>
        <w:trPr/>
        <w:tc>
          <w:tcPr>
            <w:tcW w:w="1175"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654" w:type="dxa"/>
            <w:gridSpan w:val="6"/>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054" w:type="dxa"/>
            <w:gridSpan w:val="6"/>
            <w:tcBorders/>
            <w:tcMar>
              <w:top w:w="0" w:type="dxa"/>
              <w:left w:w="0" w:type="dxa"/>
              <w:bottom w:w="0" w:type="dxa"/>
              <w:right w:w="0" w:type="dxa"/>
            </w:tcMar>
            <w:vAlign w:val="center"/>
          </w:tcPr>
          <w:p>
            <w:pPr>
              <w:pStyle w:val="TableContents"/>
              <w:bidi w:val="0"/>
              <w:spacing w:before="53" w:after="30"/>
              <w:jc w:val="left"/>
              <w:rPr/>
            </w:pPr>
            <w:r>
              <w:rPr/>
            </w:r>
          </w:p>
        </w:tc>
        <w:tc>
          <w:tcPr>
            <w:tcW w:w="654" w:type="dxa"/>
            <w:gridSpan w:val="6"/>
            <w:tcBorders/>
            <w:tcMar>
              <w:top w:w="0" w:type="dxa"/>
              <w:left w:w="0" w:type="dxa"/>
              <w:bottom w:w="0" w:type="dxa"/>
              <w:right w:w="0" w:type="dxa"/>
            </w:tcMar>
            <w:vAlign w:val="center"/>
          </w:tcPr>
          <w:p>
            <w:pPr>
              <w:pStyle w:val="TableContents"/>
              <w:bidi w:val="0"/>
              <w:spacing w:before="53" w:after="3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160"/>
              <w:jc w:val="left"/>
              <w:rPr/>
            </w:pPr>
            <w:r>
              <w:rPr/>
            </w:r>
          </w:p>
        </w:tc>
        <w:tc>
          <w:tcPr>
            <w:tcW w:w="135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377" w:type="dxa"/>
            <w:gridSpan w:val="9"/>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266" w:type="dxa"/>
            <w:gridSpan w:val="6"/>
            <w:tcBorders/>
            <w:tcMar>
              <w:top w:w="0" w:type="dxa"/>
              <w:left w:w="0" w:type="dxa"/>
              <w:bottom w:w="0" w:type="dxa"/>
              <w:right w:w="0" w:type="dxa"/>
            </w:tcMar>
            <w:vAlign w:val="center"/>
          </w:tcPr>
          <w:p>
            <w:pPr>
              <w:pStyle w:val="TableContents"/>
              <w:bidi w:val="0"/>
              <w:spacing w:before="53" w:after="30"/>
              <w:jc w:val="left"/>
              <w:rPr/>
            </w:pPr>
            <w:r>
              <w:rPr/>
            </w:r>
          </w:p>
        </w:tc>
        <w:tc>
          <w:tcPr>
            <w:tcW w:w="384" w:type="dxa"/>
            <w:gridSpan w:val="3"/>
            <w:tcBorders/>
            <w:tcMar>
              <w:top w:w="0" w:type="dxa"/>
              <w:left w:w="0" w:type="dxa"/>
              <w:bottom w:w="0" w:type="dxa"/>
              <w:right w:w="0" w:type="dxa"/>
            </w:tcMar>
            <w:vAlign w:val="center"/>
          </w:tcPr>
          <w:p>
            <w:pPr>
              <w:pStyle w:val="TableContents"/>
              <w:bidi w:val="0"/>
              <w:spacing w:before="53" w:after="30"/>
              <w:jc w:val="left"/>
              <w:rPr/>
            </w:pPr>
            <w:r>
              <w:rPr/>
            </w:r>
          </w:p>
        </w:tc>
      </w:tr>
    </w:tbl>
    <w:p>
      <w:pPr>
        <w:pStyle w:val="TextBody"/>
        <w:bidi w:val="0"/>
        <w:spacing w:lineRule="auto" w:line="300" w:before="0" w:after="160"/>
        <w:jc w:val="left"/>
        <w:rPr/>
      </w:pPr>
      <w:r>
        <w:rPr>
          <w:color w:val="000000"/>
        </w:rPr>
        <w:t> </w:t>
      </w: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new or revised financial accounting standards provided by Section 7(a)(2)(B) of the Securities Act. </w:t>
      </w:r>
      <w:r>
        <w:rPr>
          <w:color w:val="000000"/>
        </w:rPr>
        <w:t>☐</w:t>
      </w:r>
    </w:p>
    <w:p>
      <w:pPr>
        <w:pStyle w:val="TextBody"/>
        <w:bidi w:val="0"/>
        <w:spacing w:before="0" w:after="16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28650"/>
                <wp:effectExtent l="0" t="0" r="0" b="0"/>
                <wp:wrapNone/>
                <wp:docPr id="1" name="Frame1"/>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SECTION 10(a) PROSPECTUS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75"/>
        <w:jc w:val="both"/>
        <w:rPr>
          <w:rFonts w:ascii="Times New Roman;serif" w:hAnsi="Times New Roman;serif"/>
          <w:b w:val="false"/>
          <w:color w:val="000000"/>
          <w:sz w:val="20"/>
        </w:rPr>
      </w:pPr>
      <w:r>
        <w:rPr>
          <w:rFonts w:ascii="Times New Roman;serif" w:hAnsi="Times New Roman;serif"/>
          <w:b w:val="false"/>
          <w:color w:val="000000"/>
          <w:sz w:val="20"/>
        </w:rPr>
        <w:t>The documents containing the employee benefit plan information and other information required by Part I of this registration statement on Form S-8 (the “Registration Statement”) will be sent or given to participants under the 2026 Stock Incentive Plan (the “Plan”) as specified by Rule 428 under the Securities Act of 1933 (the “Securities Act”). In accordance with Rule 428 under the Securities Act and the requirements of Part I of Form S-8, such documents are not being filed with the Securities and Exchange Commission (the “Commission”) either as a part of this Registration Statement or as a prospectus or prospectus supplement pursuant to Rule 424 under the Securities Act. These documents and the documents incorporated by reference pursuant to Item 3 of Part II of this Registration Statement, taken together, constitute a prospectus that meets the requirements of Section 10(a) of the Securities Act. American States Water Company (the “Company”) will maintain a file of such documents in accordance with the provisions of Rule 428 under the Securities Act. Upon request, the Company will furnish to the Commission or its staff a copy or copies of all of the documents included in such file.</w:t>
      </w:r>
    </w:p>
    <w:p>
      <w:pPr>
        <w:pStyle w:val="TextBody"/>
        <w:bidi w:val="0"/>
        <w:spacing w:lineRule="auto" w:line="288" w:before="0" w:after="0"/>
        <w:ind w:left="0" w:right="0" w:firstLine="485"/>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3.  INCORPORATION OF DOCUMENTS BY REFERENCE.</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documents filed with the Commission by the Company pursuant to the Securities Exchange Act of 1934 (the “Exchange Act”) are incorporated by reference in this Registration Statement: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The Company’s Annual Report on</w:t>
      </w:r>
      <w:r>
        <w:rPr>
          <w:color w:val="0E32E1"/>
        </w:rPr>
        <w:t xml:space="preserve"> </w:t>
      </w:r>
      <w:r>
        <w:fldChar w:fldCharType="begin"/>
      </w:r>
      <w:r>
        <w:rPr>
          <w:rStyle w:val="InternetLink"/>
          <w:sz w:val="20"/>
          <w:u w:val="single"/>
          <w:b w:val="false"/>
          <w:rFonts w:ascii="Times New Roman;serif" w:hAnsi="Times New Roman;serif"/>
          <w:color w:val="0E32E1"/>
        </w:rPr>
        <w:instrText xml:space="preserve"> HYPERLINK "https://www.sec.gov/Archives/edgar/data/1056903/000162828026009114/awr-20251231.htm" \l "i86f1a1ed9be841c6bfbb75d21e26f6b9_223"</w:instrText>
      </w:r>
      <w:r>
        <w:rPr>
          <w:rStyle w:val="InternetLink"/>
          <w:sz w:val="20"/>
          <w:u w:val="single"/>
          <w:b w:val="false"/>
          <w:rFonts w:ascii="Times New Roman;serif" w:hAnsi="Times New Roman;serif"/>
          <w:color w:val="0E32E1"/>
        </w:rPr>
        <w:fldChar w:fldCharType="separate"/>
      </w:r>
      <w:r>
        <w:rPr>
          <w:rStyle w:val="InternetLink"/>
          <w:rFonts w:ascii="Times New Roman;serif" w:hAnsi="Times New Roman;serif"/>
          <w:b w:val="false"/>
          <w:color w:val="0E32E1"/>
          <w:sz w:val="20"/>
          <w:u w:val="single"/>
        </w:rPr>
        <w:t>Form 10-K</w:t>
      </w:r>
      <w:r>
        <w:rPr>
          <w:rStyle w:val="InternetLink"/>
          <w:sz w:val="20"/>
          <w:u w:val="single"/>
          <w:b w:val="false"/>
          <w:rFonts w:ascii="Times New Roman;serif" w:hAnsi="Times New Roman;serif"/>
          <w:color w:val="0E32E1"/>
        </w:rPr>
        <w:fldChar w:fldCharType="end"/>
      </w:r>
      <w:r>
        <w:rPr>
          <w:color w:val="000000"/>
        </w:rPr>
        <w:t xml:space="preserve"> </w:t>
      </w:r>
      <w:r>
        <w:rPr>
          <w:rFonts w:ascii="Times New Roman;serif" w:hAnsi="Times New Roman;serif"/>
          <w:b w:val="false"/>
          <w:color w:val="000000"/>
          <w:sz w:val="20"/>
        </w:rPr>
        <w:t>for the fiscal year ended December 31, 2025;</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(b)</w:t>
      </w:r>
      <w:r>
        <w:rPr>
          <w:color w:val="000000"/>
        </w:rPr>
        <w:t>                                 </w:t>
      </w:r>
      <w:r>
        <w:rPr>
          <w:rFonts w:ascii="Times New Roman;serif" w:hAnsi="Times New Roman;serif"/>
          <w:b w:val="false"/>
          <w:color w:val="000000"/>
          <w:sz w:val="20"/>
        </w:rPr>
        <w:t xml:space="preserve">The Company’s Quarterly Report on </w:t>
      </w:r>
      <w:hyperlink r:id="rId2">
        <w:r>
          <w:rPr>
            <w:rStyle w:val="InternetLink"/>
            <w:rFonts w:ascii="Times New Roman;serif" w:hAnsi="Times New Roman;serif"/>
            <w:b w:val="false"/>
            <w:color w:val="0E32E1"/>
            <w:sz w:val="20"/>
            <w:u w:val="single"/>
          </w:rPr>
          <w:t>Form 10-Q</w:t>
        </w:r>
      </w:hyperlink>
      <w:r>
        <w:rPr>
          <w:color w:val="000000"/>
        </w:rPr>
        <w:t xml:space="preserve"> </w:t>
      </w:r>
      <w:r>
        <w:rPr>
          <w:rFonts w:ascii="Times New Roman;serif" w:hAnsi="Times New Roman;serif"/>
          <w:b w:val="false"/>
          <w:color w:val="000000"/>
          <w:sz w:val="20"/>
        </w:rPr>
        <w:t>for the fiscal quarter ended March 31, 2026;</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both"/>
        <w:rPr/>
      </w:pPr>
      <w:r>
        <w:rPr>
          <w:rFonts w:ascii="Times New Roman;serif" w:hAnsi="Times New Roman;serif"/>
          <w:b w:val="false"/>
          <w:color w:val="000000"/>
          <w:sz w:val="20"/>
        </w:rPr>
        <w:t>(c)</w:t>
      </w:r>
      <w:r>
        <w:rPr>
          <w:color w:val="000000"/>
        </w:rPr>
        <w:t>                 </w:t>
      </w:r>
      <w:r>
        <w:rPr>
          <w:rFonts w:ascii="Times New Roman;serif" w:hAnsi="Times New Roman;serif"/>
          <w:b w:val="false"/>
          <w:color w:val="000000"/>
          <w:sz w:val="20"/>
        </w:rPr>
        <w:t xml:space="preserve">The Company’s Current Reports on Form 8-K filed with the Commission on </w:t>
      </w:r>
      <w:hyperlink r:id="rId3">
        <w:r>
          <w:rPr>
            <w:rStyle w:val="InternetLink"/>
            <w:rFonts w:ascii="Times New Roman;serif" w:hAnsi="Times New Roman;serif"/>
            <w:b w:val="false"/>
            <w:color w:val="0E32E1"/>
            <w:sz w:val="20"/>
            <w:u w:val="single"/>
          </w:rPr>
          <w:t>February 13, 2026</w:t>
        </w:r>
      </w:hyperlink>
      <w:r>
        <w:rPr>
          <w:rFonts w:ascii="Times New Roman;serif" w:hAnsi="Times New Roman;serif"/>
          <w:b w:val="false"/>
          <w:color w:val="000000"/>
          <w:sz w:val="20"/>
        </w:rPr>
        <w:t xml:space="preserve">, </w:t>
      </w:r>
      <w:hyperlink r:id="rId4">
        <w:r>
          <w:rPr>
            <w:rStyle w:val="InternetLink"/>
            <w:rFonts w:ascii="Times New Roman;serif" w:hAnsi="Times New Roman;serif"/>
            <w:b w:val="false"/>
            <w:color w:val="0E32E1"/>
            <w:sz w:val="20"/>
            <w:u w:val="single"/>
          </w:rPr>
          <w:t>February 20, 2026</w:t>
        </w:r>
      </w:hyperlink>
      <w:r>
        <w:rPr>
          <w:rFonts w:ascii="Times New Roman;serif" w:hAnsi="Times New Roman;serif"/>
          <w:b w:val="false"/>
          <w:color w:val="000000"/>
          <w:sz w:val="20"/>
        </w:rPr>
        <w:t xml:space="preserve">, </w:t>
      </w:r>
      <w:hyperlink r:id="rId5">
        <w:r>
          <w:rPr>
            <w:rStyle w:val="InternetLink"/>
            <w:rFonts w:ascii="Times New Roman;serif" w:hAnsi="Times New Roman;serif"/>
            <w:b w:val="false"/>
            <w:color w:val="0E32E1"/>
            <w:sz w:val="20"/>
            <w:u w:val="single"/>
          </w:rPr>
          <w:t>March 13, 2026</w:t>
        </w:r>
      </w:hyperlink>
      <w:r>
        <w:rPr>
          <w:rFonts w:ascii="Times New Roman;serif" w:hAnsi="Times New Roman;serif"/>
          <w:b w:val="false"/>
          <w:color w:val="000000"/>
          <w:sz w:val="20"/>
        </w:rPr>
        <w:t xml:space="preserve">, </w:t>
      </w:r>
      <w:hyperlink r:id="rId6">
        <w:r>
          <w:rPr>
            <w:rStyle w:val="InternetLink"/>
            <w:rFonts w:ascii="Times New Roman;serif" w:hAnsi="Times New Roman;serif"/>
            <w:b w:val="false"/>
            <w:color w:val="0E32E1"/>
            <w:sz w:val="20"/>
            <w:u w:val="single"/>
          </w:rPr>
          <w:t>March 27, 2026</w:t>
        </w:r>
      </w:hyperlink>
      <w:r>
        <w:rPr>
          <w:rFonts w:ascii="Times New Roman;serif" w:hAnsi="Times New Roman;serif"/>
          <w:b w:val="false"/>
          <w:color w:val="000000"/>
          <w:sz w:val="20"/>
        </w:rPr>
        <w:t>, and</w:t>
      </w:r>
      <w:r>
        <w:rPr>
          <w:color w:val="0E32E1"/>
        </w:rPr>
        <w:t xml:space="preserve"> </w:t>
      </w:r>
      <w:hyperlink r:id="rId7">
        <w:r>
          <w:rPr>
            <w:rStyle w:val="InternetLink"/>
            <w:rFonts w:ascii="Times New Roman;serif" w:hAnsi="Times New Roman;serif"/>
            <w:b w:val="false"/>
            <w:color w:val="0E32E1"/>
            <w:sz w:val="20"/>
            <w:u w:val="single"/>
          </w:rPr>
          <w:t>May 21, 2026</w:t>
        </w:r>
      </w:hyperlink>
      <w:r>
        <w:rPr>
          <w:rFonts w:ascii="Times New Roman;serif" w:hAnsi="Times New Roman;serif"/>
          <w:b w:val="false"/>
          <w:color w:val="000000"/>
          <w:sz w:val="20"/>
        </w:rPr>
        <w:t>; and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0"/>
        </w:rPr>
        <w:t xml:space="preserve">(e)     The description of the Company’s common shares contained in </w:t>
      </w:r>
      <w:hyperlink r:id="rId8">
        <w:r>
          <w:rPr>
            <w:rStyle w:val="InternetLink"/>
            <w:rFonts w:ascii="Times New Roman;serif" w:hAnsi="Times New Roman;serif"/>
            <w:b w:val="false"/>
            <w:color w:val="0E32E1"/>
            <w:sz w:val="20"/>
            <w:u w:val="single"/>
          </w:rPr>
          <w:t>Exhibit 4.2</w:t>
        </w:r>
      </w:hyperlink>
      <w:r>
        <w:rPr>
          <w:color w:val="000000"/>
        </w:rPr>
        <w:t xml:space="preserve"> </w:t>
      </w:r>
      <w:r>
        <w:rPr>
          <w:rFonts w:ascii="Times New Roman;serif" w:hAnsi="Times New Roman;serif"/>
          <w:b w:val="false"/>
          <w:color w:val="000000"/>
          <w:sz w:val="20"/>
        </w:rPr>
        <w:t xml:space="preserve">to its Annual Report on Form 10-K for the fiscal year ended December 31,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documents subsequently filed by the Company (other than any portion of such filings that are furnished under applicable Commission rules rather than filed) pursuant to Sections 13(a), 13(c), 14 or 15(d) of the Exchange Act after the date of this Registration Statement and prior to the filing of a post-effective amendment that indicates that all securities offered by this Registration Statement have been sold or which deregisters all securities then remaining unsold, shall be deemed to be incorporated by reference in this Registration Statement and to be a part hereof from the date of filing of such documents.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statement contained herein or in a document incorporated or deemed to be incorporated herein by reference shall be deemed to be modified or superseded for purposes of this Registration Statement to the extent that a statement contained herein or in any subsequently filed document which is or deemed to be incorporated herein by reference modifies or supersedes such prior statement. Any statement so modified or superseded shall not be deemed, except as so modified or superseded, to constitute a part of this Registration Statement.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DESCRIPTION OF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left"/>
        <w:rPr/>
      </w:pPr>
      <w:r>
        <w:rPr/>
      </w:r>
    </w:p>
    <w:p>
      <w:pPr>
        <w:pStyle w:val="TextBody"/>
        <w:bidi w:val="0"/>
        <w:ind w:left="0" w:right="0" w:firstLine="72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INTERESTS OF NAMED EXPERTS AND COUNSEL.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INDEMNIFICATION OF DIRECTORS AND OFFICERS.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incorporated under the laws of the State of California. Section 317 of the California Corporations Code provides that a corporation has the power to indemnify any person who was or is a party or is threatened to be made a party to any proceeding (other than an action by or in the right of the corporation to procure a judgment in its favor) by reason of the fact that the person is or was a director, officer, employee or other agent of the corporation, or is or was serving at the request of the corporation as a director, officer, employee or agent of another corporation or other enterprise, against expenses, judgments, fines, settlements, and other amounts actually and reasonably incurred in connection with the proceeding if that person acted in good faith and in a manner the person reasonably believed to be in the best interests of the corporation and, in the case of a criminal proceeding, had no reasonable cause to believe the conduct of the person was unlawful.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317 also provides that a corporation has the power to indemnify any person who was or is a party or is threatened to be made a party to any threatened, pending, or completed action by or in the right of the corporation to procure a judgment in its favor by reason of the fact that the person is or was a director, officer, employee or other agent of the corporation, or is or was serving at the request of the corporation as a director, officer, employee or agent of another corporation or other enterprise, against expenses actually and reasonably incurred by that person in connection with the defense or settlement of the action if the person acted in good faith, in a manner the person believed to be in the best interests of the corporation and its shareholders.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V of the Company’s Articles of Incorporation authorizes the Company to provide indemnification of directors, officers, employees and other agents of the Company or persons who are or were serving at the request of the Company as directors, officers, employees or agents of another corporation or other enterprise through bylaw provisions, agreements, votes of shareholders or disinterested directors, or otherwise, in excess of the indemnification otherwise permitted by Section 317, subject only to the limitations set forth in Section 204 of the California Corporations Code.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VI of the Company’s Bylaws contains provisions implementing the authority granted in Article V of the Company’s Articles of Incorporation. The Company’s Bylaws provide for the indemnification of any director or officer of the Company, or any person acting at the request of the Company as a director, officer, employee or agent of another corporation or other enterprise, including a Company-sponsored employee benefit plan, for any threatened or pending action, suit or proceeding to the fullest extent permitted by California law and the Company’s Articles of Incorporation; provided that the Company is not liable to indemnify any director or officer or make any advances with respect to any proceeding against a director or officer: (i) as to which the Company is prohibited by applicable law from paying as an indemnity; (ii) with respect to expenses of defense or investigation, if such expenses were or are incurred without the Company’s consent (which consent may not be unreasonably withheld); (iii) for which payment is actually made to the director or officer under a valid and collectible insurance policy maintained by the Company, except in respect of any excess beyond the amount of payment under such insurance; (iv) for which payment is actually made to the director or officer under an indemnity by the Company other than pursuant to the Company’s Bylaws, except in respect of any excess beyond the amount of payment under such indemnity; (v) based upon or attributable to the director or officer gaining in fact any personal profit or advantage to which he or she was not legally entitled; (vi) for an accounting of profits made from the purchase or sale by the director or officer of securities of the Company pursuant to the provisions of Section 16(b) of the Exchange Act and amendments thereto or similar provisions of any federal, state or local statutory law; or (vii) based upon acts or omissions involving intentional misconduct or a knowing and culpable violation of law.  Indemnification covers all expenses, liabilities and losses (including attorneys’ fees, judgments, fines, Employee Retirement Income Security Act excise taxes or penalties and amounts paid in settlement) actually and reasonably incurred or suffered by the indemnified person in connection with the action, suit or proceeding.</w:t>
      </w:r>
    </w:p>
    <w:p>
      <w:pPr>
        <w:pStyle w:val="TextBody"/>
        <w:bidi w:val="0"/>
        <w:spacing w:lineRule="auto" w:line="288"/>
        <w:ind w:left="0" w:right="0" w:firstLine="720"/>
        <w:jc w:val="left"/>
        <w:rPr>
          <w:color w:val="000000"/>
        </w:rPr>
      </w:pPr>
      <w:r>
        <w:rPr>
          <w:color w:val="000000"/>
        </w:rPr>
        <w:t> </w:t>
      </w:r>
    </w:p>
    <w:p>
      <w:pPr>
        <w:pStyle w:val="TextBody"/>
        <w:bidi w:val="0"/>
        <w:spacing w:before="0" w:after="16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purchased directors and officers insurance policies to provide protection against certain liabilities of the directors and officers. The Company has also entered into written agreements with each of its directors and certain officers that require the Company to indemnify such persons against any and all expenses (including attorneys’ fees), judgments, fines, penalties, settlements and other amounts incurred in connection with any action, suit, proceeding, or investigation, whether threatened, pending or completed, to which such person may be made a party by reason of the fact that such person is or was a director or officer of the Company, provided that such person acted in good faith and in a manner that such person reasonably believed was to be in the Company’s best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or persons controlling the Company pursuant to the foregoing provisions, the Company has been informed that in the opinion of the Commission such indemnification is against public policy as expressed in the Securities Act and is therefore unenforceable.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  EXEMPTION FROM REGISTRATION CLAIMED.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2"/>
        <w:gridCol w:w="406"/>
        <w:gridCol w:w="408"/>
        <w:gridCol w:w="109"/>
        <w:gridCol w:w="109"/>
        <w:gridCol w:w="109"/>
        <w:gridCol w:w="2847"/>
        <w:gridCol w:w="2371"/>
        <w:gridCol w:w="3384"/>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E32E1"/>
                  <w:sz w:val="20"/>
                  <w:u w:val="single"/>
                </w:rPr>
                <w:t>Amended and Restated Articles of Incorporation of American States Water Company, as amended, incorporated herein by reference to Exhibit 3.1 of the Registrant’s Form 8-K filed on June 19, 2013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E32E1"/>
                  <w:sz w:val="20"/>
                  <w:u w:val="single"/>
                </w:rPr>
                <w:t>Amended and Restated By-Laws of American States Water Company, incorporated herein by reference to Exhibit 3.1 of the Registrant’s Form 10-Q filed on November 6, 2023</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E32E1"/>
                  <w:sz w:val="20"/>
                  <w:u w:val="single"/>
                </w:rPr>
                <w:t>American States Water Company 2026 Stock Incentive Plan, incorporated herein by reference to Exhibit 10.1 of the Registrant’s Current Report on Form 8-K filed on May 21, 2026</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300" w:before="0" w:after="160"/>
              <w:jc w:val="left"/>
              <w:rPr/>
            </w:pPr>
            <w:hyperlink w:anchor="awr-ex51opinionforformsx8.htm">
              <w:r>
                <w:rPr>
                  <w:rStyle w:val="InternetLink"/>
                  <w:rFonts w:ascii="Times New Roman;serif" w:hAnsi="Times New Roman;serif"/>
                  <w:b w:val="false"/>
                  <w:color w:val="0E32E1"/>
                  <w:sz w:val="20"/>
                  <w:u w:val="single"/>
                </w:rPr>
                <w:t>Legal Opinion of Paul Hastings LLP</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23.1*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300" w:before="0" w:after="160"/>
              <w:jc w:val="left"/>
              <w:rPr/>
            </w:pPr>
            <w:hyperlink w:anchor="awr-ex231pwcconsentforsx8.htm">
              <w:r>
                <w:rPr>
                  <w:rStyle w:val="InternetLink"/>
                  <w:rFonts w:ascii="Times New Roman;serif" w:hAnsi="Times New Roman;serif"/>
                  <w:b w:val="false"/>
                  <w:color w:val="0E32E1"/>
                  <w:sz w:val="20"/>
                  <w:u w:val="single"/>
                </w:rPr>
                <w:t>Consent of PricewaterhouseCoopers LLP</w:t>
              </w:r>
            </w:hyperlink>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Consent of Paul Hastings LLP (included in legal opinion filed herewith as Exhibit 5.1)</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Powers of Attorney (included on signature page filed herewith)</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107.1*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300" w:before="0" w:after="160"/>
              <w:jc w:val="left"/>
              <w:rPr/>
            </w:pPr>
            <w:hyperlink w:anchor="exfilingfees.htm">
              <w:r>
                <w:rPr>
                  <w:rStyle w:val="InternetLink"/>
                  <w:rFonts w:ascii="Times New Roman;serif" w:hAnsi="Times New Roman;serif"/>
                  <w:b w:val="false"/>
                  <w:color w:val="0E32E1"/>
                  <w:sz w:val="20"/>
                  <w:u w:val="single"/>
                </w:rPr>
                <w:t>Filing Fee Table</w:t>
              </w:r>
            </w:hyperlink>
          </w:p>
        </w:tc>
      </w:tr>
      <w:tr>
        <w:trPr/>
        <w:tc>
          <w:tcPr>
            <w:tcW w:w="127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  UNDERTAKINGS.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The undersigned registrant hereby undertakes:</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before="0" w:after="0"/>
        <w:jc w:val="center"/>
        <w:rPr/>
      </w:pPr>
      <w:r>
        <w:rPr/>
      </w:r>
    </w:p>
    <w:p>
      <w:pPr>
        <w:pStyle w:val="TextBody"/>
        <w:bidi w:val="0"/>
        <w:spacing w:lineRule="auto" w:line="288" w:before="0" w:after="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this Registration Statement (or the most recent post-effective amendment thereof) which, individually or in the </w:t>
      </w:r>
    </w:p>
    <w:p>
      <w:pPr>
        <w:pStyle w:val="TextBody"/>
        <w:bidi w:val="0"/>
        <w:spacing w:before="0" w:after="16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under the Securities Act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pStyle w:val="TextBody"/>
        <w:bidi w:val="0"/>
        <w:spacing w:lineRule="auto" w:line="288" w:before="0" w:after="0"/>
        <w:ind w:left="0" w:right="0" w:firstLine="2160"/>
        <w:jc w:val="left"/>
        <w:rPr>
          <w:color w:val="000000"/>
        </w:rPr>
      </w:pPr>
      <w:r>
        <w:rPr>
          <w:color w:val="000000"/>
        </w:rPr>
        <w:t> </w:t>
      </w:r>
    </w:p>
    <w:p>
      <w:pPr>
        <w:pStyle w:val="TextBody"/>
        <w:bidi w:val="0"/>
        <w:spacing w:lineRule="auto" w:line="288" w:before="0" w:after="0"/>
        <w:ind w:left="0" w:right="0" w:firstLine="2160"/>
        <w:jc w:val="both"/>
        <w:rPr>
          <w:rFonts w:ascii="Times New Roman;serif" w:hAnsi="Times New Roman;serif"/>
          <w:b w:val="false"/>
          <w:color w:val="000000"/>
          <w:sz w:val="20"/>
        </w:rPr>
      </w:pPr>
      <w:r>
        <w:rPr>
          <w:rFonts w:ascii="Times New Roman;serif" w:hAnsi="Times New Roman;serif"/>
          <w:b w:val="false"/>
          <w:color w:val="000000"/>
          <w:sz w:val="20"/>
        </w:rPr>
        <w:t xml:space="preserve">(iii)  To include any material information with respect to the plan of distribution not previously disclosed in this Registration Statement or any material change to such information in this Registration Statement; </w:t>
      </w:r>
    </w:p>
    <w:p>
      <w:pPr>
        <w:pStyle w:val="TextBody"/>
        <w:bidi w:val="0"/>
        <w:spacing w:lineRule="auto" w:line="288" w:before="0" w:after="0"/>
        <w:ind w:left="0" w:right="0" w:firstLine="216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clauses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ind w:left="0" w:right="0" w:firstLine="1440"/>
        <w:jc w:val="left"/>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300"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16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San Dimas, State of California, on July 17, 2026.</w:t>
      </w:r>
    </w:p>
    <w:p>
      <w:pPr>
        <w:pStyle w:val="TextBody"/>
        <w:bidi w:val="0"/>
        <w:spacing w:lineRule="auto" w:line="288" w:before="0" w:after="0"/>
        <w:ind w:left="0" w:right="0" w:firstLine="720"/>
        <w:jc w:val="left"/>
        <w:rPr>
          <w:color w:val="000000"/>
        </w:rPr>
      </w:pPr>
      <w:r>
        <w:rPr>
          <w:color w:val="000000"/>
        </w:rPr>
        <w:t> </w:t>
      </w:r>
    </w:p>
    <w:tbl>
      <w:tblPr>
        <w:tblW w:w="4164" w:type="dxa"/>
        <w:jc w:val="left"/>
        <w:tblInd w:w="0" w:type="dxa"/>
        <w:tblLayout w:type="fixed"/>
        <w:tblCellMar>
          <w:top w:w="28" w:type="dxa"/>
          <w:left w:w="28" w:type="dxa"/>
          <w:bottom w:w="28" w:type="dxa"/>
          <w:right w:w="28" w:type="dxa"/>
        </w:tblCellMar>
      </w:tblPr>
      <w:tblGrid>
        <w:gridCol w:w="124"/>
        <w:gridCol w:w="109"/>
        <w:gridCol w:w="109"/>
        <w:gridCol w:w="594"/>
        <w:gridCol w:w="594"/>
        <w:gridCol w:w="594"/>
        <w:gridCol w:w="594"/>
        <w:gridCol w:w="594"/>
        <w:gridCol w:w="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AMERICAN STATES WATER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Robert J. Sprowls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Robert J. Sprowls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constitutes and appoints Robert J. Sprowls and Eva G. Tang, and each of them, with full power to act without the other, as his or her true and lawful attorneys-in-fact and agents, each with full power of substitution and resubstitution, for him or her and in his or her name, place and stead, in any and all capacities, to sign, execute and file this Registration Statement, and any or all amendments thereto, with all exhibits thereto and other documents in connection therewith, with the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and each of them, or the substitute or substitutes of any or all of them, may lawfully do or cause to be done by virtue hereof.</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p>
      <w:pPr>
        <w:pStyle w:val="TextBody"/>
        <w:bidi w:val="0"/>
        <w:spacing w:lineRule="auto" w:line="288"/>
        <w:jc w:val="left"/>
        <w:rPr>
          <w:color w:val="000000"/>
        </w:rPr>
      </w:pPr>
      <w:r>
        <w:rPr>
          <w:color w:val="000000"/>
        </w:rPr>
        <w:t> </w:t>
      </w:r>
    </w:p>
    <w:p>
      <w:pPr>
        <w:pStyle w:val="TextBody"/>
        <w:bidi w:val="0"/>
        <w:spacing w:before="0" w:after="1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57" w:type="dxa"/>
        <w:jc w:val="left"/>
        <w:tblInd w:w="0" w:type="dxa"/>
        <w:tblLayout w:type="fixed"/>
        <w:tblCellMar>
          <w:top w:w="28" w:type="dxa"/>
          <w:left w:w="28" w:type="dxa"/>
          <w:bottom w:w="28" w:type="dxa"/>
          <w:right w:w="28" w:type="dxa"/>
        </w:tblCellMar>
      </w:tblPr>
      <w:tblGrid>
        <w:gridCol w:w="885"/>
        <w:gridCol w:w="779"/>
        <w:gridCol w:w="781"/>
        <w:gridCol w:w="109"/>
        <w:gridCol w:w="109"/>
        <w:gridCol w:w="109"/>
        <w:gridCol w:w="1294"/>
        <w:gridCol w:w="1294"/>
        <w:gridCol w:w="1311"/>
        <w:gridCol w:w="109"/>
        <w:gridCol w:w="109"/>
        <w:gridCol w:w="109"/>
        <w:gridCol w:w="368"/>
        <w:gridCol w:w="368"/>
        <w:gridCol w:w="523"/>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4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Robert J. Sprowls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Director, President and Chief Executive</w:t>
              <w:br/>
              <w:t>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Robert J. Sprowls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Eva G.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Senior Vice President-Finance, Chief Financial</w:t>
              <w:br/>
              <w:t>Officer, Treasurer and Corporate Secretary</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Eva G. Tang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Anne M. Holloway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Chair of the Board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Anne M. Holloway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Diana M. Bontá</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Diana M. Bontá</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Steven D.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Steven D.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17"/>
              </w:rPr>
              <w:t>/</w:t>
            </w:r>
            <w:r>
              <w:rPr>
                <w:rFonts w:ascii="Times New Roman;serif" w:hAnsi="Times New Roman;serif"/>
                <w:b w:val="false"/>
                <w:i/>
                <w:color w:val="000000"/>
                <w:sz w:val="21"/>
              </w:rPr>
              <w:t xml:space="preserve">s/ </w:t>
            </w:r>
            <w:r>
              <w:rPr>
                <w:rFonts w:ascii="Times New Roman;serif" w:hAnsi="Times New Roman;serif"/>
                <w:b w:val="false"/>
                <w:color w:val="000000"/>
                <w:sz w:val="21"/>
              </w:rPr>
              <w:t>Thomas A. Eichelberger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Thomas A. Eichelberger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Roger M. Ervin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Roger M. Ervin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Mary Ann Hopkins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Mary Ann Hopkins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C. James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 James Levin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i/>
                <w:color w:val="000000"/>
                <w:sz w:val="21"/>
              </w:rPr>
              <w:t xml:space="preserve">/s/ </w:t>
            </w:r>
            <w:r>
              <w:rPr>
                <w:rFonts w:ascii="Times New Roman;serif" w:hAnsi="Times New Roman;serif"/>
                <w:b w:val="false"/>
                <w:color w:val="000000"/>
                <w:sz w:val="21"/>
              </w:rPr>
              <w:t>Caroline A. Winn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July 17, 2026</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Caroline A. Winn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Exhibit 107.1</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Calculation of Filing Fee Tables</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Form S-8</w:t>
      </w:r>
    </w:p>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lineRule="auto" w:line="300" w:before="0" w:after="0"/>
        <w:jc w:val="center"/>
        <w:rPr>
          <w:rFonts w:ascii="Times New Roman;serif" w:hAnsi="Times New Roman;serif"/>
          <w:b/>
          <w:color w:val="000000"/>
          <w:sz w:val="22"/>
        </w:rPr>
      </w:pPr>
      <w:r>
        <w:rPr>
          <w:rFonts w:ascii="Times New Roman;serif" w:hAnsi="Times New Roman;serif"/>
          <w:b/>
          <w:color w:val="000000"/>
          <w:sz w:val="22"/>
        </w:rPr>
        <w:t>American States Water Company</w:t>
      </w:r>
    </w:p>
    <w:p>
      <w:pPr>
        <w:pStyle w:val="TextBody"/>
        <w:bidi w:val="0"/>
        <w:spacing w:lineRule="auto" w:line="300" w:before="0" w:after="1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Table 1: Newly Registered Securities</w:t>
      </w:r>
    </w:p>
    <w:tbl>
      <w:tblPr>
        <w:tblW w:w="10205" w:type="dxa"/>
        <w:jc w:val="left"/>
        <w:tblInd w:w="0" w:type="dxa"/>
        <w:tblLayout w:type="fixed"/>
        <w:tblCellMar>
          <w:top w:w="28" w:type="dxa"/>
          <w:left w:w="28" w:type="dxa"/>
          <w:bottom w:w="28" w:type="dxa"/>
          <w:right w:w="28" w:type="dxa"/>
        </w:tblCellMar>
      </w:tblPr>
      <w:tblGrid>
        <w:gridCol w:w="328"/>
        <w:gridCol w:w="288"/>
        <w:gridCol w:w="289"/>
        <w:gridCol w:w="416"/>
        <w:gridCol w:w="315"/>
        <w:gridCol w:w="316"/>
        <w:gridCol w:w="403"/>
        <w:gridCol w:w="403"/>
        <w:gridCol w:w="404"/>
        <w:gridCol w:w="570"/>
        <w:gridCol w:w="391"/>
        <w:gridCol w:w="392"/>
        <w:gridCol w:w="396"/>
        <w:gridCol w:w="396"/>
        <w:gridCol w:w="397"/>
        <w:gridCol w:w="895"/>
        <w:gridCol w:w="389"/>
        <w:gridCol w:w="391"/>
        <w:gridCol w:w="653"/>
        <w:gridCol w:w="653"/>
        <w:gridCol w:w="180"/>
        <w:gridCol w:w="389"/>
        <w:gridCol w:w="389"/>
        <w:gridCol w:w="562"/>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Security Type</w:t>
            </w:r>
          </w:p>
        </w:tc>
        <w:tc>
          <w:tcPr>
            <w:tcW w:w="104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Security Class Title</w:t>
            </w:r>
          </w:p>
        </w:tc>
        <w:tc>
          <w:tcPr>
            <w:tcW w:w="12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Fee Calculation Rule</w:t>
            </w:r>
            <w:r>
              <w:rPr>
                <w:rFonts w:ascii="Times New Roman;serif" w:hAnsi="Times New Roman;serif"/>
                <w:b w:val="false"/>
                <w:color w:val="000000"/>
                <w:sz w:val="14"/>
              </w:rPr>
              <w:t>(1)</w:t>
            </w:r>
          </w:p>
        </w:tc>
        <w:tc>
          <w:tcPr>
            <w:tcW w:w="135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Amount Registered</w:t>
            </w:r>
            <w:r>
              <w:rPr>
                <w:rFonts w:ascii="Times New Roman;serif" w:hAnsi="Times New Roman;serif"/>
                <w:b w:val="false"/>
                <w:color w:val="000000"/>
                <w:sz w:val="14"/>
              </w:rPr>
              <w:t>(2)</w:t>
            </w:r>
          </w:p>
        </w:tc>
        <w:tc>
          <w:tcPr>
            <w:tcW w:w="11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2"/>
              </w:rPr>
              <w:t>Proposed Maximum Offering Price Per Unit</w:t>
            </w:r>
            <w:r>
              <w:rPr>
                <w:rFonts w:ascii="Times New Roman;serif" w:hAnsi="Times New Roman;serif"/>
                <w:b w:val="false"/>
                <w:color w:val="000000"/>
                <w:sz w:val="14"/>
              </w:rPr>
              <w:t>(3)</w:t>
            </w:r>
          </w:p>
        </w:tc>
        <w:tc>
          <w:tcPr>
            <w:tcW w:w="16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Maximum Aggregate Offering Price</w:t>
            </w:r>
          </w:p>
        </w:tc>
        <w:tc>
          <w:tcPr>
            <w:tcW w:w="14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Fee Rate</w:t>
            </w:r>
          </w:p>
        </w:tc>
        <w:tc>
          <w:tcPr>
            <w:tcW w:w="134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Amount of Registration Fee</w:t>
            </w:r>
          </w:p>
        </w:tc>
      </w:tr>
      <w:tr>
        <w:trPr/>
        <w:tc>
          <w:tcPr>
            <w:tcW w:w="90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Equity</w:t>
            </w:r>
          </w:p>
        </w:tc>
        <w:tc>
          <w:tcPr>
            <w:tcW w:w="104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Common Shares, no par value</w:t>
            </w:r>
          </w:p>
        </w:tc>
        <w:tc>
          <w:tcPr>
            <w:tcW w:w="121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Other</w:t>
            </w:r>
          </w:p>
        </w:tc>
        <w:tc>
          <w:tcPr>
            <w:tcW w:w="961"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800,000 </w:t>
            </w:r>
          </w:p>
        </w:tc>
        <w:tc>
          <w:tcPr>
            <w:tcW w:w="392"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$85.16</w:t>
            </w:r>
          </w:p>
        </w:tc>
        <w:tc>
          <w:tcPr>
            <w:tcW w:w="16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$68,128,000.00</w:t>
            </w:r>
          </w:p>
        </w:tc>
        <w:tc>
          <w:tcPr>
            <w:tcW w:w="130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0.00013810 </w:t>
            </w:r>
          </w:p>
        </w:tc>
        <w:tc>
          <w:tcPr>
            <w:tcW w:w="180"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$9,408.48</w:t>
            </w:r>
          </w:p>
        </w:tc>
      </w:tr>
      <w:tr>
        <w:trPr/>
        <w:tc>
          <w:tcPr>
            <w:tcW w:w="4515" w:type="dxa"/>
            <w:gridSpan w:val="12"/>
            <w:tcBorders>
              <w:left w:val="single" w:sz="4" w:space="0" w:color="000000"/>
              <w:bottom w:val="single" w:sz="4" w:space="0" w:color="000000"/>
            </w:tcBorders>
            <w:tcMar>
              <w:top w:w="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Total Offering Amounts</w:t>
            </w:r>
          </w:p>
        </w:tc>
        <w:tc>
          <w:tcPr>
            <w:tcW w:w="118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$68,128,000.00</w:t>
            </w:r>
          </w:p>
        </w:tc>
        <w:tc>
          <w:tcPr>
            <w:tcW w:w="14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$9,408.48</w:t>
            </w:r>
          </w:p>
        </w:tc>
      </w:tr>
      <w:tr>
        <w:trPr/>
        <w:tc>
          <w:tcPr>
            <w:tcW w:w="4515"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Total Fee Offsets</w:t>
            </w:r>
          </w:p>
        </w:tc>
        <w:tc>
          <w:tcPr>
            <w:tcW w:w="118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$0.00</w:t>
            </w:r>
          </w:p>
        </w:tc>
      </w:tr>
      <w:tr>
        <w:trPr/>
        <w:tc>
          <w:tcPr>
            <w:tcW w:w="4515" w:type="dxa"/>
            <w:gridSpan w:val="12"/>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Net Fee Due</w:t>
            </w:r>
          </w:p>
        </w:tc>
        <w:tc>
          <w:tcPr>
            <w:tcW w:w="118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7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300" w:before="0" w:after="160"/>
              <w:jc w:val="right"/>
              <w:rPr>
                <w:rFonts w:ascii="Times New Roman;serif" w:hAnsi="Times New Roman;serif"/>
                <w:b w:val="false"/>
                <w:color w:val="000000"/>
                <w:sz w:val="22"/>
              </w:rPr>
            </w:pPr>
            <w:r>
              <w:rPr>
                <w:rFonts w:ascii="Times New Roman;serif" w:hAnsi="Times New Roman;serif"/>
                <w:b w:val="false"/>
                <w:color w:val="000000"/>
                <w:sz w:val="22"/>
              </w:rPr>
              <w:t>$9,408.48</w:t>
            </w:r>
          </w:p>
        </w:tc>
      </w:tr>
    </w:tbl>
    <w:p>
      <w:pPr>
        <w:pStyle w:val="TextBody"/>
        <w:bidi w:val="0"/>
        <w:spacing w:before="0" w:after="160"/>
        <w:jc w:val="left"/>
        <w:rPr/>
      </w:pPr>
      <w:r>
        <w:rPr/>
      </w:r>
    </w:p>
    <w:p>
      <w:pPr>
        <w:pStyle w:val="TextBody"/>
        <w:bidi w:val="0"/>
        <w:spacing w:lineRule="auto" w:line="30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(1)Fee calculated in accordance with Rule 457(c) and Rule 457(h) of the Securities Act of 1933 (the “Securities Act”).</w:t>
      </w:r>
    </w:p>
    <w:p>
      <w:pPr>
        <w:pStyle w:val="TextBody"/>
        <w:bidi w:val="0"/>
        <w:spacing w:lineRule="auto" w:line="30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(2)Pursuant to Rule 416(a) under the Securities Act, this Registration Statement on Form S-8 covers any additional Common Shares of American States Water Company (the “Company”) that may become issuable under the Company’s 2026 Stock Incentive Plan as a result of stock splits, stock dividends or similar transactions. </w:t>
      </w:r>
    </w:p>
    <w:p>
      <w:pPr>
        <w:pStyle w:val="TextBody"/>
        <w:bidi w:val="0"/>
        <w:spacing w:lineRule="auto" w:line="300"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(3)Estimated solely for the purpose of calculating the registration fee pursuant to Rule 457(c) and Rule 457(h)(1) of the Securities Act based on the average of the high and low sales price as reported on the New York Stock Exchange on July 13,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371600" cy="400050"/>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12"/>
                    <a:stretch>
                      <a:fillRect/>
                    </a:stretch>
                  </pic:blipFill>
                  <pic:spPr bwMode="auto">
                    <a:xfrm>
                      <a:off x="0" y="0"/>
                      <a:ext cx="1371600" cy="4000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5.1</w:t>
      </w:r>
    </w:p>
    <w:tbl>
      <w:tblPr>
        <w:tblW w:w="1662" w:type="dxa"/>
        <w:jc w:val="left"/>
        <w:tblInd w:w="0" w:type="dxa"/>
        <w:tblLayout w:type="fixed"/>
        <w:tblCellMar>
          <w:top w:w="28" w:type="dxa"/>
          <w:left w:w="28" w:type="dxa"/>
          <w:bottom w:w="28" w:type="dxa"/>
          <w:right w:w="28" w:type="dxa"/>
        </w:tblCellMar>
      </w:tblPr>
      <w:tblGrid>
        <w:gridCol w:w="467"/>
        <w:gridCol w:w="410"/>
        <w:gridCol w:w="413"/>
        <w:gridCol w:w="109"/>
        <w:gridCol w:w="109"/>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July 17,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American States Water Company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630 East Foothill Blvd.</w:t>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San Dimas, CA 91773-1212</w:t>
      </w:r>
    </w:p>
    <w:p>
      <w:pPr>
        <w:pStyle w:val="TextBody"/>
        <w:bidi w:val="0"/>
        <w:spacing w:lineRule="auto" w:line="288" w:before="240" w:after="283"/>
        <w:ind w:left="0" w:right="0" w:hanging="720"/>
        <w:jc w:val="left"/>
        <w:rPr>
          <w:rFonts w:ascii="Arial;sans-serif" w:hAnsi="Arial;sans-serif"/>
          <w:b w:val="false"/>
          <w:color w:val="000000"/>
          <w:sz w:val="20"/>
        </w:rPr>
      </w:pPr>
      <w:r>
        <w:rPr>
          <w:rFonts w:ascii="Arial;sans-serif" w:hAnsi="Arial;sans-serif"/>
          <w:b w:val="false"/>
          <w:color w:val="000000"/>
          <w:sz w:val="20"/>
        </w:rPr>
        <w:t>Re:    Registration Statement on Form S-8</w:t>
      </w:r>
    </w:p>
    <w:p>
      <w:pPr>
        <w:pStyle w:val="TextBody"/>
        <w:bidi w:val="0"/>
        <w:spacing w:lineRule="auto" w:line="288" w:before="240" w:after="24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0" w:after="0"/>
        <w:jc w:val="both"/>
        <w:rPr/>
      </w:pPr>
      <w:r>
        <w:rPr>
          <w:rFonts w:ascii="Arial;sans-serif" w:hAnsi="Arial;sans-serif"/>
          <w:b w:val="false"/>
          <w:color w:val="000000"/>
          <w:sz w:val="20"/>
        </w:rPr>
        <w:t>We have acted as counsel to American States Water Company, a California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preparation of the registration statement on Form S-8 to be filed by the Company with the U.S. Securities and Exchange Commission (the “</w:t>
      </w:r>
      <w:r>
        <w:rPr>
          <w:rFonts w:ascii="Arial;sans-serif" w:hAnsi="Arial;sans-serif"/>
          <w:b/>
          <w:i/>
          <w:color w:val="000000"/>
          <w:sz w:val="20"/>
        </w:rPr>
        <w:t>Commission</w:t>
      </w:r>
      <w:r>
        <w:rPr>
          <w:color w:val="000000"/>
        </w:rPr>
        <w:t>”</w:t>
      </w:r>
      <w:r>
        <w:rPr>
          <w:rFonts w:ascii="Arial;sans-serif" w:hAnsi="Arial;sans-serif"/>
          <w:b w:val="false"/>
          <w:color w:val="000000"/>
          <w:sz w:val="20"/>
        </w:rPr>
        <w:t>) on or about the date hereof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to effect registration under the Securities Act of 1933, as amended (the “</w:t>
      </w:r>
      <w:r>
        <w:rPr>
          <w:rFonts w:ascii="Arial;sans-serif" w:hAnsi="Arial;sans-serif"/>
          <w:b/>
          <w:i/>
          <w:color w:val="000000"/>
          <w:sz w:val="20"/>
        </w:rPr>
        <w:t>Securities Act</w:t>
      </w:r>
      <w:r>
        <w:rPr>
          <w:color w:val="000000"/>
        </w:rPr>
        <w:t>”</w:t>
      </w:r>
      <w:r>
        <w:rPr>
          <w:rFonts w:ascii="Arial;sans-serif" w:hAnsi="Arial;sans-serif"/>
          <w:b w:val="false"/>
          <w:color w:val="000000"/>
          <w:sz w:val="20"/>
        </w:rPr>
        <w:t>), of 800,000 shares (the “</w:t>
      </w:r>
      <w:r>
        <w:rPr>
          <w:rFonts w:ascii="Arial;sans-serif" w:hAnsi="Arial;sans-serif"/>
          <w:b/>
          <w:i/>
          <w:color w:val="000000"/>
          <w:sz w:val="20"/>
        </w:rPr>
        <w:t>Shares</w:t>
      </w:r>
      <w:r>
        <w:rPr>
          <w:color w:val="000000"/>
        </w:rPr>
        <w:t>”</w:t>
      </w:r>
      <w:r>
        <w:rPr>
          <w:rFonts w:ascii="Arial;sans-serif" w:hAnsi="Arial;sans-serif"/>
          <w:b w:val="false"/>
          <w:color w:val="000000"/>
          <w:sz w:val="20"/>
        </w:rPr>
        <w:t>) of the Company’s common stock, no par value per share, reserved for awards available for future issuance under the Company’s 2026 Stock Incentive Plan (the “</w:t>
      </w:r>
      <w:r>
        <w:rPr>
          <w:rFonts w:ascii="Arial;sans-serif" w:hAnsi="Arial;sans-serif"/>
          <w:b/>
          <w:i/>
          <w:color w:val="000000"/>
          <w:sz w:val="20"/>
        </w:rPr>
        <w:t>Plan</w:t>
      </w:r>
      <w:r>
        <w:rPr>
          <w:color w:val="000000"/>
        </w:rPr>
        <w:t>”</w:t>
      </w:r>
      <w:r>
        <w:rPr>
          <w:rFonts w:ascii="Arial;sans-serif" w:hAnsi="Arial;sans-serif"/>
          <w:b w:val="false"/>
          <w:color w:val="000000"/>
          <w:sz w:val="2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such counsel and for purposes of our opinion set forth below, we have examined and relied upon originals or copies, certified or otherwise identified to our satisfaction, of such documents, resolutions, certificates and instruments of the Company and corporate records furnished to us by the Company, and have reviewed certificates of public officials, statutes, records and such other instruments and documents as we have deemed necessary or appropriate as a basis for the opinion set forth below, including, without limitation:</w:t>
      </w:r>
    </w:p>
    <w:p>
      <w:pPr>
        <w:pStyle w:val="TextBody"/>
        <w:bidi w:val="0"/>
        <w:spacing w:before="0" w:after="0"/>
        <w:jc w:val="both"/>
        <w:rPr/>
      </w:pPr>
      <w:r>
        <w:rPr/>
      </w:r>
    </w:p>
    <w:p>
      <w:pPr>
        <w:pStyle w:val="TextBody"/>
        <w:bidi w:val="0"/>
        <w:spacing w:lineRule="auto" w:line="288" w:before="0" w:after="240"/>
        <w:ind w:left="0" w:right="0" w:hanging="700"/>
        <w:jc w:val="both"/>
        <w:rPr>
          <w:rFonts w:ascii="Arial;sans-serif" w:hAnsi="Arial;sans-serif"/>
          <w:b w:val="false"/>
          <w:color w:val="000000"/>
          <w:sz w:val="20"/>
        </w:rPr>
      </w:pPr>
      <w:r>
        <w:rPr>
          <w:rFonts w:ascii="Arial;sans-serif" w:hAnsi="Arial;sans-serif"/>
          <w:b w:val="false"/>
          <w:color w:val="000000"/>
          <w:sz w:val="20"/>
        </w:rPr>
        <w:t>(i)    the Registration Statement;</w:t>
      </w:r>
    </w:p>
    <w:p>
      <w:pPr>
        <w:pStyle w:val="TextBody"/>
        <w:bidi w:val="0"/>
        <w:spacing w:lineRule="auto" w:line="288" w:before="0" w:after="240"/>
        <w:ind w:left="0" w:right="0" w:hanging="700"/>
        <w:jc w:val="both"/>
        <w:rPr>
          <w:rFonts w:ascii="Arial;sans-serif" w:hAnsi="Arial;sans-serif"/>
          <w:b w:val="false"/>
          <w:color w:val="000000"/>
          <w:sz w:val="20"/>
        </w:rPr>
      </w:pPr>
      <w:r>
        <w:rPr>
          <w:rFonts w:ascii="Arial;sans-serif" w:hAnsi="Arial;sans-serif"/>
          <w:b w:val="false"/>
          <w:color w:val="000000"/>
          <w:sz w:val="20"/>
        </w:rPr>
        <w:t>(ii)    the Amended and Restated Articles of Incorporation of the Company, as amended from time to time, as certified as of July 16, 2026 by the Office of the Secretary of State of the State of California;</w:t>
      </w:r>
    </w:p>
    <w:p>
      <w:pPr>
        <w:pStyle w:val="TextBody"/>
        <w:bidi w:val="0"/>
        <w:spacing w:lineRule="auto" w:line="288" w:before="0" w:after="240"/>
        <w:ind w:left="0" w:right="0" w:hanging="700"/>
        <w:jc w:val="both"/>
        <w:rPr>
          <w:rFonts w:ascii="Arial;sans-serif" w:hAnsi="Arial;sans-serif"/>
          <w:b w:val="false"/>
          <w:color w:val="000000"/>
          <w:sz w:val="20"/>
        </w:rPr>
      </w:pPr>
      <w:r>
        <w:rPr>
          <w:rFonts w:ascii="Arial;sans-serif" w:hAnsi="Arial;sans-serif"/>
          <w:b w:val="false"/>
          <w:color w:val="000000"/>
          <w:sz w:val="20"/>
        </w:rPr>
        <w:t>(iii)    the Bylaws of the Company as presently in effect, as certified by an officer of the Company on July 17, 2026;</w:t>
      </w:r>
    </w:p>
    <w:p>
      <w:pPr>
        <w:pStyle w:val="TextBody"/>
        <w:bidi w:val="0"/>
        <w:spacing w:lineRule="auto" w:line="288" w:before="0" w:after="240"/>
        <w:ind w:left="0" w:right="0" w:hanging="700"/>
        <w:jc w:val="both"/>
        <w:rPr>
          <w:rFonts w:ascii="Arial;sans-serif" w:hAnsi="Arial;sans-serif"/>
          <w:b w:val="false"/>
          <w:color w:val="000000"/>
          <w:sz w:val="20"/>
        </w:rPr>
      </w:pPr>
      <w:r>
        <w:rPr>
          <w:rFonts w:ascii="Arial;sans-serif" w:hAnsi="Arial;sans-serif"/>
          <w:b w:val="false"/>
          <w:color w:val="000000"/>
          <w:sz w:val="20"/>
        </w:rPr>
        <w:t>(iv)    the Plan;</w:t>
      </w:r>
    </w:p>
    <w:p>
      <w:pPr>
        <w:pStyle w:val="TextBody"/>
        <w:bidi w:val="0"/>
        <w:spacing w:lineRule="auto" w:line="288" w:before="0" w:after="240"/>
        <w:ind w:left="0" w:right="0" w:hanging="700"/>
        <w:jc w:val="both"/>
        <w:rPr/>
      </w:pPr>
      <w:r>
        <w:rPr>
          <w:rFonts w:ascii="Arial;sans-serif" w:hAnsi="Arial;sans-serif"/>
          <w:b w:val="false"/>
          <w:color w:val="000000"/>
          <w:sz w:val="20"/>
        </w:rPr>
        <w:t>(v)    a certificate, dated as of July 16, 2026, from the Office of the Secretary of State of the State of California, as to the existence and good standing of the Company in the State of California (the “</w:t>
      </w:r>
      <w:r>
        <w:rPr>
          <w:rFonts w:ascii="Arial;sans-serif" w:hAnsi="Arial;sans-serif"/>
          <w:b/>
          <w:i/>
          <w:color w:val="000000"/>
          <w:sz w:val="20"/>
        </w:rPr>
        <w:t>Good Standing Certificate</w:t>
      </w:r>
      <w:r>
        <w:rPr>
          <w:color w:val="000000"/>
        </w:rPr>
        <w:t>”</w:t>
      </w:r>
      <w:r>
        <w:rPr>
          <w:rFonts w:ascii="Arial;sans-serif" w:hAnsi="Arial;sans-serif"/>
          <w:b w:val="false"/>
          <w:color w:val="000000"/>
          <w:sz w:val="20"/>
        </w:rPr>
        <w:t xml:space="preserve">); and </w:t>
      </w:r>
    </w:p>
    <w:p>
      <w:pPr>
        <w:pStyle w:val="TextBody"/>
        <w:bidi w:val="0"/>
        <w:spacing w:lineRule="auto" w:line="288" w:before="0" w:after="240"/>
        <w:ind w:left="0" w:right="0" w:hanging="680"/>
        <w:jc w:val="both"/>
        <w:rPr>
          <w:rFonts w:ascii="Arial;sans-serif" w:hAnsi="Arial;sans-serif"/>
          <w:b w:val="false"/>
          <w:color w:val="000000"/>
          <w:sz w:val="20"/>
        </w:rPr>
      </w:pPr>
      <w:r>
        <w:rPr>
          <w:rFonts w:ascii="Arial;sans-serif" w:hAnsi="Arial;sans-serif"/>
          <w:b w:val="false"/>
          <w:color w:val="000000"/>
          <w:sz w:val="20"/>
        </w:rPr>
        <w:t>(vi)    the resolutions adopted by the board of directors of the Company regarding the Plan and other matters related thereto, as certified by an officer of the Company on July 17, 2026.</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In addition to the foregoing, we have made such investigations of law as we have deemed necessary or appropriate as a basis for the opinion set forth in this opinion letter.</w:t>
      </w:r>
    </w:p>
    <w:p>
      <w:pPr>
        <w:pStyle w:val="TextBody"/>
        <w:bidi w:val="0"/>
        <w:spacing w:before="0" w:after="480"/>
        <w:jc w:val="left"/>
        <w:rPr/>
      </w:pPr>
      <w:r>
        <w:rPr/>
        <w:drawing>
          <wp:inline distT="0" distB="0" distL="0" distR="0">
            <wp:extent cx="1371600" cy="4000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13"/>
                    <a:stretch>
                      <a:fillRect/>
                    </a:stretch>
                  </pic:blipFill>
                  <pic:spPr bwMode="auto">
                    <a:xfrm>
                      <a:off x="0" y="0"/>
                      <a:ext cx="1371600" cy="4000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0220"/>
                <wp:effectExtent l="0" t="0" r="0" b="0"/>
                <wp:wrapNone/>
                <wp:docPr id="11" name="Frame9"/>
                <a:graphic xmlns:a="http://schemas.openxmlformats.org/drawingml/2006/main">
                  <a:graphicData uri="http://schemas.microsoft.com/office/word/2010/wordprocessingShape">
                    <wps:wsp>
                      <wps:cNvSpPr txBox="1"/>
                      <wps:spPr>
                        <a:xfrm>
                          <a:off x="0" y="0"/>
                          <a:ext cx="6480175" cy="490220"/>
                        </a:xfrm>
                        <a:prstGeom prst="rect"/>
                        <a:solidFill>
                          <a:srgbClr val="FFFFFF"/>
                        </a:solidFill>
                      </wps:spPr>
                      <wps:txb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Paul Hastings LLP | 1920 Main Street | Suite 400 | Irvine, CA 92614</w:t>
                            </w:r>
                            <w:r>
                              <w:br w:type="page"/>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T: 714 668 6200 | www.paulhastings.com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Paul Hastings LLP | 1920 Main Street | Suite 400 | Irvine, CA 92614</w:t>
                      </w:r>
                    </w:p>
                    <w:p>
                      <w:pPr>
                        <w:pStyle w:val="TextBody"/>
                        <w:bidi w:val="0"/>
                        <w:spacing w:lineRule="auto" w:line="288" w:before="0" w:after="0"/>
                        <w:jc w:val="right"/>
                        <w:rPr>
                          <w:rFonts w:ascii="Arial;sans-serif" w:hAnsi="Arial;sans-serif"/>
                          <w:b w:val="false"/>
                          <w:color w:val="000000"/>
                          <w:sz w:val="18"/>
                        </w:rPr>
                      </w:pPr>
                      <w:r>
                        <w:rPr>
                          <w:rFonts w:ascii="Arial;sans-serif" w:hAnsi="Arial;sans-serif"/>
                          <w:b w:val="false"/>
                          <w:color w:val="000000"/>
                          <w:sz w:val="18"/>
                        </w:rPr>
                        <w:t>T: 714 668 6200 | www.paulhastings.com</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American States Water Company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July 17, 2026</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such examination and in rendering the opinion expressed below, we have assumed, without independent investigation or verification: (i) the genuineness of all signatures on all agreements, instruments, corporate records, certificates and other documents submitted to us; (ii) the authenticity and completeness of all agreements, instruments, corporate records, certificates and other documents submitted to us as originals; (iii) that all agreements, instruments, corporate records, certificates and other documents submitted to us as certified, electronic, facsimile, conformed, photostatic or other copies conform to originals thereof, and that such originals are authentic and complete; (iv) the legal capacity and authority of all persons or entities (other than the Company) executing all agreements, instruments, corporate records, certificates and other documents submitted to us;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statements contained in the certificates and comparable documents of public officials, officers and representatives of the Company and other persons on which we have relied for the purposes of this opinion letter are true and correct; (viii) that there has not been any change in the good standing status of the Company from that reported in the Good Standing Certificate; and (ix) that each of the officers and directors of the Company has properly exercised his or her fiduciary duties. As to all questions of fact material to this opinion letter, and as to the materiality of any fact or other matter referred to herein, we have relied (without independent investigation or verification) upon representations and certificates or comparable documents of officers and representatives of the Company. 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legal matters and issues without the assistance of independent counsel. We have also assumed that the individual issuances, grants or awards under the Plan will be duly authorized by all necessary corporate action of the Company and duly issued, granted or awarded and exercised in accordance with the requirements of law, the Plan and the agreements, awards and grants duly adopted thereunder.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Based upon the foregoing, and in reliance thereon, and subject to the assumptions, limitations, qualifications and exceptions set forth herein, we are of the opinion that the Shares are duly authorized and, when issued as described in the Registration Statement and in accordance with the Plan and the applicable award agreements thereunder (including the receipt by the Company of the full consideration therefor), will be validly issued, fully paid and nonassessable.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Without limiting any of the other limitations, exceptions and qualifications stated elsewhere herein, we express no opinion with regard to the applicability or effect of the laws of any jurisdiction other than the California Corporations Code, as in effect on the date of this opinion letter.</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opinion letter deals only with the specified legal issues expressly addressed herein, and you should not infer any opinion that is not explicitly stated herein from any matter addressed in this opinion letter.</w:t>
      </w:r>
    </w:p>
    <w:p>
      <w:pPr>
        <w:pStyle w:val="TextBody"/>
        <w:bidi w:val="0"/>
        <w:spacing w:lineRule="auto" w:line="288" w:before="0" w:after="0"/>
        <w:jc w:val="both"/>
        <w:rPr>
          <w:color w:val="000000"/>
        </w:rPr>
      </w:pPr>
      <w:r>
        <w:rPr>
          <w:color w:val="000000"/>
        </w:rPr>
        <w:t> </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opinion letter is rendered solely in connection with the issuance and delivery of the Shares as described in the Registration Statement and in accordance with the terms of the Plan and the applicable award agreement thereunder. This opinion letter is rendered as of the date hereof, and we assume no obligation to advise you or any other person with regard to any change after the date hereof in the </w:t>
      </w:r>
    </w:p>
    <w:p>
      <w:pPr>
        <w:pStyle w:val="TextBody"/>
        <w:bidi w:val="0"/>
        <w:spacing w:before="0" w:after="480"/>
        <w:jc w:val="left"/>
        <w:rPr/>
      </w:pPr>
      <w:r>
        <w:rPr/>
        <w:drawing>
          <wp:inline distT="0" distB="0" distL="0" distR="0">
            <wp:extent cx="1371600" cy="40005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14"/>
                    <a:stretch>
                      <a:fillRect/>
                    </a:stretch>
                  </pic:blipFill>
                  <pic:spPr bwMode="auto">
                    <a:xfrm>
                      <a:off x="0" y="0"/>
                      <a:ext cx="1371600" cy="40005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American States Water Company </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July 17, 2026</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circumstances or the law that may bear on the matters set forth herein even if the change may affect the legal analysis or a legal conclusion or other matters in this opinion letter.</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hereby consent to the filing of this opinion letter as Exhibit 5.1 to the Registration Statement. In giving such consent, we do not hereby admit that we are within the category of persons whose consent is required under Section 7 of the Securities Act or the rules or regulations of the Commission thereunder.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Very truly yours,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Paul Hastings LLP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288" w:before="0" w:after="120"/>
        <w:jc w:val="both"/>
        <w:rPr/>
      </w:pPr>
      <w:r>
        <w:rPr>
          <w:rFonts w:ascii="Georgia;serif" w:hAnsi="Georgia;serif"/>
          <w:b w:val="false"/>
          <w:color w:val="000000"/>
          <w:sz w:val="20"/>
        </w:rPr>
        <w:t>We hereby consent to the incorporation by reference in this Registration Statement on Form S-8 of American States Water Company of our report dated February 18, 2026</w:t>
      </w:r>
      <w:r>
        <w:rPr>
          <w:color w:val="000000"/>
        </w:rPr>
        <w:t xml:space="preserve"> </w:t>
      </w:r>
      <w:r>
        <w:rPr>
          <w:rFonts w:ascii="Georgia;serif" w:hAnsi="Georgia;serif"/>
          <w:b w:val="false"/>
          <w:color w:val="000000"/>
          <w:sz w:val="20"/>
        </w:rPr>
        <w:t xml:space="preserve">relating to the financial statements, financial statement schedule and the effectiveness of internal control over financial reporting, which appears in American States Water Company's Annual Report on Form 10-K for the year ended December 31, 2025. </w:t>
      </w:r>
    </w:p>
    <w:p>
      <w:pPr>
        <w:pStyle w:val="TextBody"/>
        <w:bidi w:val="0"/>
        <w:spacing w:lineRule="auto" w:line="288" w:before="240" w:after="283"/>
        <w:jc w:val="left"/>
        <w:rPr>
          <w:rFonts w:ascii="Georgia;serif" w:hAnsi="Georgia;serif"/>
          <w:b w:val="false"/>
          <w:color w:val="000000"/>
          <w:sz w:val="20"/>
        </w:rPr>
      </w:pPr>
      <w:r>
        <w:rPr>
          <w:rFonts w:ascii="Georgia;serif" w:hAnsi="Georgia;serif"/>
          <w:b w:val="false"/>
          <w:color w:val="000000"/>
          <w:sz w:val="20"/>
        </w:rPr>
        <w:t xml:space="preserve">/s/ PricewaterhouseCoopers LLP </w:t>
        <w:br/>
        <w:t xml:space="preserve">Los Angeles, California </w:t>
        <w:br/>
        <w:t>July 17,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hanging="36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056903/000162828026031364/awr-20260331.htm" TargetMode="External"/><Relationship Id="rId3" Type="http://schemas.openxmlformats.org/officeDocument/2006/relationships/hyperlink" Target="https://www.sec.gov/ix?doc=/Archives/edgar/data/0001056903/000162828026008178/awr-20260210.htm" TargetMode="External"/><Relationship Id="rId4" Type="http://schemas.openxmlformats.org/officeDocument/2006/relationships/hyperlink" Target="https://www.sec.gov/ix?doc=/Archives/edgar/data/0001056903/000110465926018151/tm266217d2_8k.htm" TargetMode="External"/><Relationship Id="rId5" Type="http://schemas.openxmlformats.org/officeDocument/2006/relationships/hyperlink" Target="https://www.sec.gov/ix?doc=/Archives/edgar/data/0001056903/000162828026017733/awr-20260312.htm" TargetMode="External"/><Relationship Id="rId6" Type="http://schemas.openxmlformats.org/officeDocument/2006/relationships/hyperlink" Target="https://www.sec.gov/ix?doc=/Archives/edgar/data/0001056903/000162828026021751/awr-20260326.htm" TargetMode="External"/><Relationship Id="rId7" Type="http://schemas.openxmlformats.org/officeDocument/2006/relationships/hyperlink" Target="https://www.sec.gov/ix?doc=/Archives/edgar/data/0001056903/000162828026037056/awr-20260519.htm" TargetMode="External"/><Relationship Id="rId8" Type="http://schemas.openxmlformats.org/officeDocument/2006/relationships/hyperlink" Target="https://www.sec.gov/Archives/edgar/data/92116/000162828024005922/exhibit43-descriptionofcom.htm" TargetMode="External"/><Relationship Id="rId9" Type="http://schemas.openxmlformats.org/officeDocument/2006/relationships/hyperlink" Target="https://www.sec.gov/Archives/edgar/data/1056903/000110465913050126/a13-15243_1ex3d1.htm" TargetMode="External"/><Relationship Id="rId10" Type="http://schemas.openxmlformats.org/officeDocument/2006/relationships/hyperlink" Target="https://www.sec.gov/Archives/edgar/data/92116/000162828023037070/exhibit31-awrbylawsxamende.htm" TargetMode="External"/><Relationship Id="rId11" Type="http://schemas.openxmlformats.org/officeDocument/2006/relationships/hyperlink" Target="https://www.sec.gov/Archives/edgar/data/1056903/000162828026037056/exhibit101-2026stockincent.htm" TargetMode="External"/><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2.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4359</Words>
  <Characters>23106</Characters>
  <CharactersWithSpaces>27622</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