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231F20"/>
        </w:rPr>
        <w:t>CURRENT REPORT</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10, 2021</w:t>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AMERICAN STATES WATER COMPANY</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420" w:type="dxa"/>
        <w:tblCellMar>
          <w:top w:w="0" w:type="dxa"/>
          <w:left w:w="0" w:type="dxa"/>
          <w:bottom w:w="0" w:type="dxa"/>
          <w:right w:w="0" w:type="dxa"/>
        </w:tblCellMar>
      </w:tblPr>
      <w:tr>
        <w:trPr>
          <w:trHeight w:val="26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California</w:t>
            </w:r>
          </w:p>
        </w:tc>
        <w:tc>
          <w:tcPr>
            <w:tcW w:w="2140" w:type="dxa"/>
            <w:vAlign w:val="bottom"/>
          </w:tcPr>
          <w:p>
            <w:pPr>
              <w:ind w:left="1280"/>
              <w:spacing w:after="0"/>
              <w:rPr>
                <w:sz w:val="20"/>
                <w:szCs w:val="20"/>
                <w:color w:val="auto"/>
              </w:rPr>
            </w:pPr>
            <w:r>
              <w:rPr>
                <w:rFonts w:ascii="Arial" w:cs="Arial" w:eastAsia="Arial" w:hAnsi="Arial"/>
                <w:sz w:val="18"/>
                <w:szCs w:val="18"/>
                <w:b w:val="1"/>
                <w:bCs w:val="1"/>
                <w:color w:val="auto"/>
                <w:w w:val="97"/>
              </w:rPr>
              <w:t>001-14431</w:t>
            </w:r>
          </w:p>
        </w:tc>
        <w:tc>
          <w:tcPr>
            <w:tcW w:w="15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95-4676679</w:t>
            </w:r>
          </w:p>
        </w:tc>
        <w:tc>
          <w:tcPr>
            <w:tcW w:w="0" w:type="dxa"/>
            <w:vAlign w:val="bottom"/>
          </w:tcPr>
          <w:p>
            <w:pPr>
              <w:spacing w:after="0"/>
              <w:rPr>
                <w:sz w:val="1"/>
                <w:szCs w:val="1"/>
                <w:color w:val="auto"/>
              </w:rPr>
            </w:pPr>
          </w:p>
        </w:tc>
      </w:tr>
      <w:tr>
        <w:trPr>
          <w:trHeight w:val="189"/>
        </w:trPr>
        <w:tc>
          <w:tcPr>
            <w:tcW w:w="334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720" w:type="dxa"/>
            <w:vAlign w:val="bottom"/>
            <w:gridSpan w:val="2"/>
            <w:vMerge w:val="restart"/>
          </w:tcPr>
          <w:p>
            <w:pPr>
              <w:ind w:left="680"/>
              <w:spacing w:after="0"/>
              <w:rPr>
                <w:sz w:val="20"/>
                <w:szCs w:val="20"/>
                <w:color w:val="auto"/>
              </w:rPr>
            </w:pPr>
            <w:r>
              <w:rPr>
                <w:rFonts w:ascii="Arial" w:cs="Arial" w:eastAsia="Arial" w:hAnsi="Arial"/>
                <w:sz w:val="18"/>
                <w:szCs w:val="18"/>
                <w:color w:val="auto"/>
              </w:rPr>
              <w:t>(Commission File Number)</w:t>
            </w:r>
          </w:p>
        </w:tc>
        <w:tc>
          <w:tcPr>
            <w:tcW w:w="2620" w:type="dxa"/>
            <w:vAlign w:val="bottom"/>
          </w:tcPr>
          <w:p>
            <w:pPr>
              <w:jc w:val="center"/>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372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630 East Foothill Blvd.</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San Dimas</w:t>
            </w: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CA</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91773-1212</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337"/>
        </w:trPr>
        <w:tc>
          <w:tcPr>
            <w:tcW w:w="3340" w:type="dxa"/>
            <w:vAlign w:val="bottom"/>
          </w:tcPr>
          <w:p>
            <w:pPr>
              <w:spacing w:after="0"/>
              <w:rPr>
                <w:sz w:val="24"/>
                <w:szCs w:val="24"/>
                <w:color w:val="auto"/>
              </w:rPr>
            </w:pPr>
          </w:p>
        </w:tc>
        <w:tc>
          <w:tcPr>
            <w:tcW w:w="3720" w:type="dxa"/>
            <w:vAlign w:val="bottom"/>
            <w:gridSpan w:val="2"/>
          </w:tcPr>
          <w:p>
            <w:pPr>
              <w:ind w:left="1300"/>
              <w:spacing w:after="0"/>
              <w:rPr>
                <w:sz w:val="20"/>
                <w:szCs w:val="20"/>
                <w:color w:val="auto"/>
              </w:rPr>
            </w:pPr>
            <w:r>
              <w:rPr>
                <w:rFonts w:ascii="Arial" w:cs="Arial" w:eastAsia="Arial" w:hAnsi="Arial"/>
                <w:sz w:val="18"/>
                <w:szCs w:val="18"/>
                <w:b w:val="1"/>
                <w:bCs w:val="1"/>
                <w:color w:val="auto"/>
              </w:rPr>
              <w:t>(909) 394-3600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w w:val="89"/>
              </w:rPr>
              <w:t>Registrant's telephone number, including area code</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52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Soliciting material pursuant to Rule 14a-12 under the Exchange Act (17 CFR 240.14a-12)</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Pre-commencement communications pursuant to Rule 14d-2(b) under the Exchange Act (17 CFR 240.14d-2(b))</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231F20"/>
        </w:rPr>
      </w:pPr>
      <w:r>
        <w:rPr>
          <w:rFonts w:ascii="Arial" w:cs="Arial" w:eastAsia="Arial" w:hAnsi="Arial"/>
          <w:sz w:val="18"/>
          <w:szCs w:val="18"/>
          <w:color w:val="231F20"/>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10"/>
        </w:trPr>
        <w:tc>
          <w:tcPr>
            <w:tcW w:w="1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640" w:type="dxa"/>
            <w:vAlign w:val="bottom"/>
          </w:tcPr>
          <w:p>
            <w:pPr>
              <w:spacing w:after="0"/>
              <w:rPr>
                <w:sz w:val="24"/>
                <w:szCs w:val="24"/>
                <w:color w:val="auto"/>
              </w:rPr>
            </w:pP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American States Water Company Common Shares</w:t>
            </w:r>
          </w:p>
        </w:tc>
        <w:tc>
          <w:tcPr>
            <w:tcW w:w="10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AWR</w:t>
            </w:r>
          </w:p>
        </w:tc>
        <w:tc>
          <w:tcPr>
            <w:tcW w:w="6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67"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9"/>
          <w:szCs w:val="19"/>
          <w:color w:val="231F20"/>
        </w:rPr>
        <w:t>☐</w:t>
      </w:r>
    </w:p>
    <w:p>
      <w:pPr>
        <w:spacing w:after="0" w:line="21" w:lineRule="exact"/>
        <w:rPr>
          <w:sz w:val="24"/>
          <w:szCs w:val="24"/>
          <w:color w:val="auto"/>
        </w:rPr>
      </w:pPr>
    </w:p>
    <w:p>
      <w:pPr>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0" w:right="499" w:bottom="1440" w:gutter="0" w:footer="0" w:header="0"/>
        </w:sectPr>
      </w:pPr>
    </w:p>
    <w:bookmarkStart w:id="1" w:name="page2"/>
    <w:bookmarkEnd w:id="1"/>
    <w:p>
      <w:pPr>
        <w:ind w:left="2860"/>
        <w:spacing w:after="0"/>
        <w:rPr>
          <w:sz w:val="20"/>
          <w:szCs w:val="20"/>
          <w:color w:val="auto"/>
        </w:rPr>
      </w:pPr>
      <w:r>
        <w:rPr>
          <w:rFonts w:ascii="Arial" w:cs="Arial" w:eastAsia="Arial" w:hAnsi="Arial"/>
          <w:sz w:val="22"/>
          <w:szCs w:val="22"/>
          <w:b w:val="1"/>
          <w:bCs w:val="1"/>
          <w:color w:val="auto"/>
        </w:rPr>
        <w:t>Section 5 - Corporate Governance and Management</w:t>
      </w:r>
    </w:p>
    <w:p>
      <w:pPr>
        <w:spacing w:after="0" w:line="200" w:lineRule="exact"/>
        <w:rPr>
          <w:sz w:val="20"/>
          <w:szCs w:val="20"/>
          <w:color w:val="auto"/>
        </w:rPr>
      </w:pPr>
    </w:p>
    <w:p>
      <w:pPr>
        <w:spacing w:after="0" w:line="276" w:lineRule="exact"/>
        <w:rPr>
          <w:sz w:val="20"/>
          <w:szCs w:val="20"/>
          <w:color w:val="auto"/>
        </w:rPr>
      </w:pPr>
    </w:p>
    <w:p>
      <w:pPr>
        <w:ind w:right="560"/>
        <w:spacing w:after="0" w:line="256" w:lineRule="auto"/>
        <w:rPr>
          <w:sz w:val="20"/>
          <w:szCs w:val="20"/>
          <w:color w:val="auto"/>
        </w:rPr>
      </w:pPr>
      <w:r>
        <w:rPr>
          <w:rFonts w:ascii="Arial" w:cs="Arial" w:eastAsia="Arial" w:hAnsi="Arial"/>
          <w:sz w:val="22"/>
          <w:szCs w:val="22"/>
          <w:b w:val="1"/>
          <w:bCs w:val="1"/>
          <w:color w:val="auto"/>
        </w:rPr>
        <w:t>Item 5.02. Departure of Directors or Principal Officers; Election of Directors; Appointment of Principal Officers; Compensatory Arrangements of Certain Officers</w:t>
      </w:r>
    </w:p>
    <w:p>
      <w:pPr>
        <w:spacing w:after="0" w:line="195" w:lineRule="exact"/>
        <w:rPr>
          <w:sz w:val="20"/>
          <w:szCs w:val="20"/>
          <w:color w:val="auto"/>
        </w:rPr>
      </w:pPr>
    </w:p>
    <w:p>
      <w:pPr>
        <w:jc w:val="both"/>
        <w:ind w:right="260" w:firstLine="648"/>
        <w:spacing w:after="0" w:line="228" w:lineRule="auto"/>
        <w:rPr>
          <w:sz w:val="20"/>
          <w:szCs w:val="20"/>
          <w:color w:val="auto"/>
        </w:rPr>
      </w:pPr>
      <w:r>
        <w:rPr>
          <w:rFonts w:ascii="Arial" w:cs="Arial" w:eastAsia="Arial" w:hAnsi="Arial"/>
          <w:sz w:val="22"/>
          <w:szCs w:val="22"/>
          <w:color w:val="auto"/>
        </w:rPr>
        <w:t>The employment relationship between American States Utility Services, Inc. and its subsidiaries (“ASUS”), a wholly-owned subsidiary of American States Water Company (NYSE:AWR), and Stuart G. Harrison, Senior Vice President of ASUS ended on August 10, 2021. Robert J. Sprowls, President and Chief Executive Officer, has temporarily assumed Mr. Harrison’s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9"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AMERICAN STATES WATER COMPANY</w:t>
      </w:r>
    </w:p>
    <w:p>
      <w:pPr>
        <w:spacing w:after="0" w:line="27"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22"/>
          <w:szCs w:val="22"/>
          <w:color w:val="auto"/>
        </w:rPr>
        <w:t>August 10, 2021</w:t>
      </w:r>
      <w:r>
        <w:rPr>
          <w:sz w:val="20"/>
          <w:szCs w:val="20"/>
          <w:color w:val="auto"/>
        </w:rPr>
        <w:tab/>
      </w:r>
      <w:r>
        <w:rPr>
          <w:rFonts w:ascii="Arial" w:cs="Arial" w:eastAsia="Arial" w:hAnsi="Arial"/>
          <w:sz w:val="19"/>
          <w:szCs w:val="19"/>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13335</wp:posOffset>
            </wp:positionV>
            <wp:extent cx="408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jc w:val="center"/>
        <w:ind w:left="4800"/>
        <w:spacing w:after="0"/>
        <w:rPr>
          <w:sz w:val="20"/>
          <w:szCs w:val="20"/>
          <w:color w:val="auto"/>
        </w:rPr>
      </w:pPr>
      <w:r>
        <w:rPr>
          <w:rFonts w:ascii="Arial" w:cs="Arial" w:eastAsia="Arial" w:hAnsi="Arial"/>
          <w:sz w:val="22"/>
          <w:szCs w:val="22"/>
          <w:color w:val="auto"/>
        </w:rPr>
        <w:t>Eva G. Tang</w:t>
      </w:r>
    </w:p>
    <w:p>
      <w:pPr>
        <w:jc w:val="center"/>
        <w:ind w:left="4800"/>
        <w:spacing w:after="0" w:line="214" w:lineRule="auto"/>
        <w:rPr>
          <w:sz w:val="20"/>
          <w:szCs w:val="20"/>
          <w:color w:val="auto"/>
        </w:rPr>
      </w:pPr>
      <w:r>
        <w:rPr>
          <w:rFonts w:ascii="Arial" w:cs="Arial" w:eastAsia="Arial" w:hAnsi="Arial"/>
          <w:sz w:val="21"/>
          <w:szCs w:val="21"/>
          <w:color w:val="auto"/>
        </w:rPr>
        <w:t>Senior Vice President-Finance, Chief Financial Officer, Corporate</w:t>
      </w:r>
    </w:p>
    <w:p>
      <w:pPr>
        <w:spacing w:after="0" w:line="1" w:lineRule="exact"/>
        <w:rPr>
          <w:sz w:val="20"/>
          <w:szCs w:val="20"/>
          <w:color w:val="auto"/>
        </w:rPr>
      </w:pPr>
    </w:p>
    <w:p>
      <w:pPr>
        <w:jc w:val="center"/>
        <w:ind w:left="4800"/>
        <w:spacing w:after="0"/>
        <w:rPr>
          <w:sz w:val="20"/>
          <w:szCs w:val="20"/>
          <w:color w:val="auto"/>
        </w:rPr>
      </w:pPr>
      <w:r>
        <w:rPr>
          <w:rFonts w:ascii="Arial" w:cs="Arial" w:eastAsia="Arial" w:hAnsi="Arial"/>
          <w:sz w:val="22"/>
          <w:szCs w:val="22"/>
          <w:color w:val="auto"/>
        </w:rPr>
        <w:t>Secretary and Treasurer</w:t>
      </w:r>
    </w:p>
    <w:sectPr>
      <w:pgSz w:w="11900" w:h="16838" w:orient="portrait"/>
      <w:cols w:equalWidth="0" w:num="1">
        <w:col w:w="11160"/>
      </w:cols>
      <w:pgMar w:left="320" w:top="88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2021-08-10T16:09:07Z</dcterms:created>
  <dcterms:modified xsi:type="dcterms:W3CDTF">2021-08-10T16:09:07Z</dcterms:modified>
</cp:coreProperties>
</file>